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80520" w:rsidRDefault="00580520" w:rsidP="00580520">
      <w:pPr>
        <w:pStyle w:val="chnum"/>
        <w:spacing w:after="0" w:afterAutospacing="0"/>
        <w:jc w:val="right"/>
        <w:rPr>
          <w:rFonts w:ascii="Copperplate-Gothic-Light" w:hAnsi="Copperplate-Gothic-Light"/>
          <w:color w:val="000000"/>
          <w:sz w:val="41"/>
          <w:szCs w:val="41"/>
        </w:rPr>
      </w:pPr>
      <w:r>
        <w:rPr>
          <w:rFonts w:ascii="Copperplate-Gothic-Light" w:hAnsi="Copperplate-Gothic-Light"/>
          <w:color w:val="000000"/>
          <w:sz w:val="41"/>
          <w:szCs w:val="41"/>
        </w:rPr>
        <w:fldChar w:fldCharType="begin"/>
      </w:r>
      <w:r>
        <w:rPr>
          <w:rFonts w:ascii="Copperplate-Gothic-Light" w:hAnsi="Copperplate-Gothic-Light"/>
          <w:color w:val="000000"/>
          <w:sz w:val="41"/>
          <w:szCs w:val="41"/>
        </w:rPr>
        <w:instrText xml:space="preserve"> HYPERLINK "https://jigsaw.vitalsource.com/books/9781351142502/epub/OEBPS/toc.xlink.xhtml" \l "ch1" </w:instrText>
      </w:r>
      <w:r>
        <w:rPr>
          <w:rFonts w:ascii="Copperplate-Gothic-Light" w:hAnsi="Copperplate-Gothic-Light"/>
          <w:color w:val="000000"/>
          <w:sz w:val="41"/>
          <w:szCs w:val="41"/>
        </w:rPr>
        <w:fldChar w:fldCharType="separate"/>
      </w:r>
      <w:r>
        <w:rPr>
          <w:rStyle w:val="hyperlink"/>
          <w:rFonts w:ascii="Copperplate-Gothic-Light" w:hAnsi="Copperplate-Gothic-Light"/>
          <w:color w:val="0000FF"/>
          <w:sz w:val="41"/>
          <w:szCs w:val="41"/>
          <w:u w:val="single"/>
        </w:rPr>
        <w:t>1</w:t>
      </w:r>
      <w:r>
        <w:rPr>
          <w:rFonts w:ascii="Copperplate-Gothic-Light" w:hAnsi="Copperplate-Gothic-Light"/>
          <w:color w:val="000000"/>
          <w:sz w:val="41"/>
          <w:szCs w:val="41"/>
        </w:rPr>
        <w:fldChar w:fldCharType="end"/>
      </w:r>
    </w:p>
    <w:p w:rsidR="00580520" w:rsidRDefault="00580520" w:rsidP="00580520">
      <w:pPr>
        <w:pStyle w:val="chtitle"/>
        <w:spacing w:after="720" w:afterAutospacing="0"/>
        <w:jc w:val="right"/>
        <w:rPr>
          <w:rFonts w:ascii="TradeGothicLH-Extended" w:hAnsi="TradeGothicLH-Extended"/>
          <w:color w:val="000000"/>
          <w:sz w:val="43"/>
          <w:szCs w:val="43"/>
        </w:rPr>
      </w:pPr>
      <w:hyperlink r:id="rId4" w:anchor="ch1" w:history="1">
        <w:r>
          <w:rPr>
            <w:rStyle w:val="hyperlink"/>
            <w:rFonts w:ascii="TradeGothicLH-Extended" w:hAnsi="TradeGothicLH-Extended"/>
            <w:color w:val="0000FF"/>
            <w:sz w:val="43"/>
            <w:szCs w:val="43"/>
            <w:u w:val="single"/>
          </w:rPr>
          <w:t>I</w:t>
        </w:r>
        <w:r>
          <w:rPr>
            <w:rStyle w:val="hyperlink"/>
            <w:rFonts w:ascii="TradeGothicLH-Extended" w:hAnsi="TradeGothicLH-Extended"/>
            <w:color w:val="0000FF"/>
            <w:sz w:val="36"/>
            <w:szCs w:val="36"/>
            <w:u w:val="single"/>
          </w:rPr>
          <w:t>NTRODUCTION</w:t>
        </w:r>
      </w:hyperlink>
    </w:p>
    <w:p w:rsidR="00580520" w:rsidRDefault="00580520" w:rsidP="00580520">
      <w:pPr>
        <w:pStyle w:val="noindent"/>
        <w:jc w:val="both"/>
        <w:rPr>
          <w:rFonts w:ascii="ACaslonPro-Regular" w:hAnsi="ACaslonPro-Regular"/>
          <w:color w:val="000000"/>
        </w:rPr>
      </w:pPr>
      <w:r>
        <w:rPr>
          <w:rFonts w:ascii="ACaslonPro-Regular" w:hAnsi="ACaslonPro-Regular"/>
          <w:color w:val="000000"/>
        </w:rPr>
        <w:t xml:space="preserve">“These people should learn English or we’ll send them back to where they came from,” Mayor Barton exclaimed to enthusiastic applause during his election victory speech. During a fiercely contested campaign, Mayor Barton relied on stoking racism and xenophobia in </w:t>
      </w:r>
      <w:proofErr w:type="spellStart"/>
      <w:r>
        <w:rPr>
          <w:rFonts w:ascii="ACaslonPro-Regular" w:hAnsi="ACaslonPro-Regular"/>
          <w:color w:val="000000"/>
        </w:rPr>
        <w:t>Dovetown</w:t>
      </w:r>
      <w:proofErr w:type="spellEnd"/>
      <w:r>
        <w:rPr>
          <w:rFonts w:ascii="ACaslonPro-Regular" w:hAnsi="ACaslonPro-Regular"/>
          <w:color w:val="000000"/>
        </w:rPr>
        <w:t xml:space="preserve"> to rally his base. The suburban town, which until recently had been predominantly white, was attracting growing numbers of Somali and Central American immigrants looking for work in its growing service industries. Although many people in </w:t>
      </w:r>
      <w:proofErr w:type="spellStart"/>
      <w:r>
        <w:rPr>
          <w:rFonts w:ascii="ACaslonPro-Regular" w:hAnsi="ACaslonPro-Regular"/>
          <w:color w:val="000000"/>
        </w:rPr>
        <w:t>Dovetown</w:t>
      </w:r>
      <w:proofErr w:type="spellEnd"/>
      <w:r>
        <w:rPr>
          <w:rFonts w:ascii="ACaslonPro-Regular" w:hAnsi="ACaslonPro-Regular"/>
          <w:color w:val="000000"/>
        </w:rPr>
        <w:t xml:space="preserve"> welcomed the diversity, others were not so welcoming.</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Over the next couple weeks Ms. </w:t>
      </w:r>
      <w:proofErr w:type="spellStart"/>
      <w:r>
        <w:rPr>
          <w:rFonts w:ascii="ACaslonPro-Regular" w:hAnsi="ACaslonPro-Regular"/>
          <w:color w:val="000000"/>
        </w:rPr>
        <w:t>Samaya</w:t>
      </w:r>
      <w:proofErr w:type="spellEnd"/>
      <w:r>
        <w:rPr>
          <w:rFonts w:ascii="ACaslonPro-Regular" w:hAnsi="ACaslonPro-Regular"/>
          <w:color w:val="000000"/>
        </w:rPr>
        <w:t xml:space="preserve">, a science teacher at South </w:t>
      </w:r>
      <w:proofErr w:type="spellStart"/>
      <w:r>
        <w:rPr>
          <w:rFonts w:ascii="ACaslonPro-Regular" w:hAnsi="ACaslonPro-Regular"/>
          <w:color w:val="000000"/>
        </w:rPr>
        <w:t>Dovetown</w:t>
      </w:r>
      <w:proofErr w:type="spellEnd"/>
      <w:r>
        <w:rPr>
          <w:rFonts w:ascii="ACaslonPro-Regular" w:hAnsi="ACaslonPro-Regular"/>
          <w:color w:val="000000"/>
        </w:rPr>
        <w:t xml:space="preserve"> School, noticed more and more sentiments mirroring Mayor Barton’s statement surfacing, not only around the community, but in the school. She noticed the significant increase in racial and ethnic bias incidents targeting not only Somali and Central American students, but all students of color. Then, one night during an evening newscast when a reporter was interviewing local residents about the aftermath of the election, she watched as William, one of her neighbors, said he missed the “good old days” when everybody in the town knew one another and nobody had to worry much about “outsiders.” Citing one of Mayor Barton’s campaign claims despite it having been debunked by the town’s sheriff, William stared into the camera and said, “Those people bring crime into my town and take our jobs.” A group of people standing behind William clapped and cheered.</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Ms. </w:t>
      </w:r>
      <w:proofErr w:type="spellStart"/>
      <w:r>
        <w:rPr>
          <w:rFonts w:ascii="ACaslonPro-Regular" w:hAnsi="ACaslonPro-Regular"/>
          <w:color w:val="000000"/>
        </w:rPr>
        <w:t>Samaya</w:t>
      </w:r>
      <w:proofErr w:type="spellEnd"/>
      <w:r>
        <w:rPr>
          <w:rFonts w:ascii="ACaslonPro-Regular" w:hAnsi="ACaslonPro-Regular"/>
          <w:color w:val="000000"/>
        </w:rPr>
        <w:t xml:space="preserve"> was concerned for her students. She was concerned for those who were part of the communities targeted by the racism and xenophobia displayed so brazenly by William and shared by many other adults in town. And she was worried for the children who were being socialized by parents to adopt William’s views. As a child of immigrants, Ms. </w:t>
      </w:r>
      <w:proofErr w:type="spellStart"/>
      <w:r>
        <w:rPr>
          <w:rFonts w:ascii="ACaslonPro-Regular" w:hAnsi="ACaslonPro-Regular"/>
          <w:color w:val="000000"/>
        </w:rPr>
        <w:t>Samaya</w:t>
      </w:r>
      <w:proofErr w:type="spellEnd"/>
      <w:r>
        <w:rPr>
          <w:rFonts w:ascii="ACaslonPro-Regular" w:hAnsi="ACaslonPro-Regular"/>
          <w:color w:val="000000"/>
        </w:rPr>
        <w:t xml:space="preserve"> was fully aware these views had always existed to some extent in the town. But Mayor Barton’s election had given people permission to share them publicly and many were doing so.</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p.2</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Although many teachers at South </w:t>
      </w:r>
      <w:proofErr w:type="spellStart"/>
      <w:r>
        <w:rPr>
          <w:rFonts w:ascii="ACaslonPro-Regular" w:hAnsi="ACaslonPro-Regular"/>
          <w:color w:val="000000"/>
        </w:rPr>
        <w:t>Dovetown</w:t>
      </w:r>
      <w:proofErr w:type="spellEnd"/>
      <w:r>
        <w:rPr>
          <w:rFonts w:ascii="ACaslonPro-Regular" w:hAnsi="ACaslonPro-Regular"/>
          <w:color w:val="000000"/>
        </w:rPr>
        <w:t xml:space="preserve"> were chatting informally about the election and the increase in bias incidents, Ms. </w:t>
      </w:r>
      <w:proofErr w:type="spellStart"/>
      <w:r>
        <w:rPr>
          <w:rFonts w:ascii="ACaslonPro-Regular" w:hAnsi="ACaslonPro-Regular"/>
          <w:color w:val="000000"/>
        </w:rPr>
        <w:t>Samaya</w:t>
      </w:r>
      <w:proofErr w:type="spellEnd"/>
      <w:r>
        <w:rPr>
          <w:rFonts w:ascii="ACaslonPro-Regular" w:hAnsi="ACaslonPro-Regular"/>
          <w:color w:val="000000"/>
        </w:rPr>
        <w:t xml:space="preserve"> was frustrated that the principal, Mr. Smith, had not addressed the issue with the full staff. She felt anxious about the upcoming staff meeting, hoping he would mention it.</w:t>
      </w:r>
    </w:p>
    <w:p w:rsidR="00580520" w:rsidRDefault="00580520" w:rsidP="00580520">
      <w:pPr>
        <w:pStyle w:val="noindent"/>
        <w:jc w:val="both"/>
        <w:rPr>
          <w:rFonts w:ascii="ACaslonPro-Regular" w:hAnsi="ACaslonPro-Regular"/>
          <w:color w:val="000000"/>
        </w:rPr>
      </w:pPr>
      <w:r>
        <w:rPr>
          <w:rFonts w:ascii="ACaslonPro-Regular" w:hAnsi="ACaslonPro-Regular"/>
          <w:color w:val="000000"/>
        </w:rPr>
        <w:t>Nothing is simple when it comes to diversity and social justice. Perhaps we can all agree that each student </w:t>
      </w:r>
      <w:r>
        <w:rPr>
          <w:rStyle w:val="italic"/>
          <w:rFonts w:ascii="ACaslonPro-Italic" w:hAnsi="ACaslonPro-Italic"/>
          <w:color w:val="000000"/>
        </w:rPr>
        <w:t>ought to</w:t>
      </w:r>
      <w:r>
        <w:rPr>
          <w:rFonts w:ascii="ACaslonPro-Regular" w:hAnsi="ACaslonPro-Regular"/>
          <w:color w:val="000000"/>
        </w:rPr>
        <w:t> have access to equitable educational opportunity—that a student’s (or, for that matter, a teacher’s or administrator’s) racial identity, ethnicity, socioeconomic status, sexual orientation, gender identity, or home language should not determine her level of access to educational opportunity or predict her grades or her likelihood of graduating from high school. But do we agree on how to construct a just educational system or even an equitable classroom?</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lastRenderedPageBreak/>
        <w:t>We believe one struggle that impedes us as a community of educators in our quest to create more just schools is a pattern of trying to solve complex problems or address complex conditions with simple, immediate solutions. Consider, for example, the time and resources schools across the U.S. have invested in attempting to narrow achievement gaps by training their teachers on culture- or identity-specific “learning styles”; on the “girl brain” and “boy brain”; on the “culture of poverty.” We understand the lure of these approaches, as dangerous as they are. We share the sense of urgency that accompanies rooms full of students who cannot wait, and should not have to wait, for the educational revolution to come along before their learning needs are addressed more effectively.</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Although easy practical solutions might be convenient, they also can do damage. Often they shift the equity responsibility onto the student, focusing on fixing students’ mindsets or grittiness instead of addressing the conditions that require some students to be more resilient than others. They are simple and straightforward and, unfortunately, often more a </w:t>
      </w:r>
      <w:r>
        <w:rPr>
          <w:rStyle w:val="italic"/>
          <w:rFonts w:ascii="ACaslonPro-Italic" w:hAnsi="ACaslonPro-Italic"/>
          <w:color w:val="000000"/>
        </w:rPr>
        <w:t>reflection of</w:t>
      </w:r>
      <w:r>
        <w:rPr>
          <w:rFonts w:ascii="ACaslonPro-Regular" w:hAnsi="ACaslonPro-Regular"/>
          <w:color w:val="000000"/>
        </w:rPr>
        <w:t> inequity than a </w:t>
      </w:r>
      <w:r>
        <w:rPr>
          <w:rStyle w:val="italic"/>
          <w:rFonts w:ascii="ACaslonPro-Italic" w:hAnsi="ACaslonPro-Italic"/>
          <w:color w:val="000000"/>
        </w:rPr>
        <w:t>challenge to</w:t>
      </w:r>
      <w:r>
        <w:rPr>
          <w:rFonts w:ascii="ACaslonPro-Regular" w:hAnsi="ACaslonPro-Regular"/>
          <w:color w:val="000000"/>
        </w:rPr>
        <w:t> inequity.</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p.3</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For example, research has shown that teaching to particular learning styles is ineffective because students’ learning styles and learning needs change depending on what they are learning, the context in which they’re learning, from whom they are learning, and their confidence with the material, among other factors. Moreover, identity-specific learning styles simply </w:t>
      </w:r>
      <w:r>
        <w:rPr>
          <w:rStyle w:val="italic"/>
          <w:rFonts w:ascii="ACaslonPro-Italic" w:hAnsi="ACaslonPro-Italic"/>
          <w:color w:val="000000"/>
        </w:rPr>
        <w:t>do not exist</w:t>
      </w:r>
      <w:r>
        <w:rPr>
          <w:rFonts w:ascii="ACaslonPro-Regular" w:hAnsi="ACaslonPro-Regular"/>
          <w:color w:val="000000"/>
        </w:rPr>
        <w:t>. At any moment the diversity of preferred learning modalities </w:t>
      </w:r>
      <w:r>
        <w:rPr>
          <w:rStyle w:val="italic"/>
          <w:rFonts w:ascii="ACaslonPro-Italic" w:hAnsi="ACaslonPro-Italic"/>
          <w:color w:val="000000"/>
        </w:rPr>
        <w:t>within</w:t>
      </w:r>
      <w:r>
        <w:rPr>
          <w:rFonts w:ascii="ACaslonPro-Regular" w:hAnsi="ACaslonPro-Regular"/>
          <w:color w:val="000000"/>
        </w:rPr>
        <w:t> individual identity groups—African American boys, for example—is just as great as the diversity of preferred learning modalities </w:t>
      </w:r>
      <w:r>
        <w:rPr>
          <w:rStyle w:val="italic"/>
          <w:rFonts w:ascii="ACaslonPro-Italic" w:hAnsi="ACaslonPro-Italic"/>
          <w:color w:val="000000"/>
        </w:rPr>
        <w:t>between</w:t>
      </w:r>
      <w:r>
        <w:rPr>
          <w:rFonts w:ascii="ACaslonPro-Regular" w:hAnsi="ACaslonPro-Regular"/>
          <w:color w:val="000000"/>
        </w:rPr>
        <w:t> identity groups.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Complicating matters, a considerable portion of disparities in educational outcomes such as academic performance and graduation rates are symptoms of conditions that fall outside our individual spheres of influence as educators. We cannot control the racism and xenophobia students and their families face outside schools. We can and, we would argue, we </w:t>
      </w:r>
      <w:r>
        <w:rPr>
          <w:rStyle w:val="italic"/>
          <w:rFonts w:ascii="ACaslonPro-Italic" w:hAnsi="ACaslonPro-Italic"/>
          <w:color w:val="000000"/>
        </w:rPr>
        <w:t>should</w:t>
      </w:r>
      <w:r>
        <w:rPr>
          <w:rFonts w:ascii="ACaslonPro-Regular" w:hAnsi="ACaslonPro-Regular"/>
          <w:color w:val="000000"/>
        </w:rPr>
        <w:t> at the very least be aware of these conditions and how they affect students’ lives and school experiences. After all, these conditions also affect students’ interactions with us and with the schools in which we work.</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Upon reading the scenario involving South </w:t>
      </w:r>
      <w:proofErr w:type="spellStart"/>
      <w:r>
        <w:rPr>
          <w:rFonts w:ascii="ACaslonPro-Regular" w:hAnsi="ACaslonPro-Regular"/>
          <w:color w:val="000000"/>
        </w:rPr>
        <w:t>Dovetown</w:t>
      </w:r>
      <w:proofErr w:type="spellEnd"/>
      <w:r>
        <w:rPr>
          <w:rFonts w:ascii="ACaslonPro-Regular" w:hAnsi="ACaslonPro-Regular"/>
          <w:color w:val="000000"/>
        </w:rPr>
        <w:t>, it might be easy to think, </w:t>
      </w:r>
      <w:r>
        <w:rPr>
          <w:rStyle w:val="italic"/>
          <w:rFonts w:ascii="ACaslonPro-Italic" w:hAnsi="ACaslonPro-Italic"/>
          <w:color w:val="000000"/>
        </w:rPr>
        <w:t>I have no control over the results of an election or bias in the community. That has nothing to do with school</w:t>
      </w:r>
      <w:r>
        <w:rPr>
          <w:rFonts w:ascii="ACaslonPro-Regular" w:hAnsi="ACaslonPro-Regular"/>
          <w:color w:val="000000"/>
        </w:rPr>
        <w:t>. If only matters of diversity and social justice education were that simple.</w:t>
      </w:r>
    </w:p>
    <w:p w:rsidR="00580520" w:rsidRDefault="00580520" w:rsidP="00580520">
      <w:pPr>
        <w:pStyle w:val="noindent"/>
        <w:jc w:val="both"/>
        <w:rPr>
          <w:rFonts w:ascii="ACaslonPro-Regular" w:hAnsi="ACaslonPro-Regular"/>
          <w:color w:val="000000"/>
        </w:rPr>
      </w:pPr>
      <w:r>
        <w:rPr>
          <w:rFonts w:ascii="ACaslonPro-Regular" w:hAnsi="ACaslonPro-Regular"/>
          <w:color w:val="000000"/>
        </w:rPr>
        <w:t xml:space="preserve">When the meeting was almost over and Mr. Smith hadn’t mentioned the election or the bias incidents, Ms. </w:t>
      </w:r>
      <w:proofErr w:type="spellStart"/>
      <w:r>
        <w:rPr>
          <w:rFonts w:ascii="ACaslonPro-Regular" w:hAnsi="ACaslonPro-Regular"/>
          <w:color w:val="000000"/>
        </w:rPr>
        <w:t>Samaya</w:t>
      </w:r>
      <w:proofErr w:type="spellEnd"/>
      <w:r>
        <w:rPr>
          <w:rFonts w:ascii="ACaslonPro-Regular" w:hAnsi="ACaslonPro-Regular"/>
          <w:color w:val="000000"/>
        </w:rPr>
        <w:t xml:space="preserve"> decided to speak up. As soon as Mr. Smith asked whether anybody had new business, she raised her hand.</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“I think we need to talk about how this election is affecting our students,” she said. Several of her colleagues nodded. A few others fidgeted uncomfortably in their seats. “Moreover,” she added, “I think we need to take a stand against bias and bigotry. We need to let students know they are all </w:t>
      </w:r>
      <w:r>
        <w:rPr>
          <w:rFonts w:ascii="ACaslonPro-Regular" w:hAnsi="ACaslonPro-Regular"/>
          <w:color w:val="000000"/>
        </w:rPr>
        <w:lastRenderedPageBreak/>
        <w:t>welcome here. I don’t know or care who voted for whom, but can’t we at least agree we have a responsibility to all our students?”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As a wave of chatter filled the room Mr. Smith tried to regain control of the conversation. “OK, OK,” he said loudly. “Let’s settle down. I figured somebody was going to bring that up. We are planning an anti-bullying workshop for our next professional development day. So things are in motion.”</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p.4</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“What about a public statement? We need to let the community know we don’t support all this bigotry,” Ms. </w:t>
      </w:r>
      <w:proofErr w:type="spellStart"/>
      <w:r>
        <w:rPr>
          <w:rFonts w:ascii="ACaslonPro-Regular" w:hAnsi="ACaslonPro-Regular"/>
          <w:color w:val="000000"/>
        </w:rPr>
        <w:t>Samaya</w:t>
      </w:r>
      <w:proofErr w:type="spellEnd"/>
      <w:r>
        <w:rPr>
          <w:rFonts w:ascii="ACaslonPro-Regular" w:hAnsi="ACaslonPro-Regular"/>
          <w:color w:val="000000"/>
        </w:rPr>
        <w:t xml:space="preserve"> said.</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Mr. Smith responded, “As for that, we need to be careful not to enter the political fray. As a school we can’t take a political stand. We strive to be welcoming to all students, but a public statement might offend people who voted for Mayor Barton.”</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“Well, I voted for Mayor Barton and it would definitely offend me,” Ms. Allister, a language arts teacher, said angrily. “Whatever happened to free speech? I feel like I can’t be honest about how this influx of Somalis and Hispanics has made it harder to teach the kids who are actually from this community. And a lot of it goes back to their parents refusing to learn how to speak English.”</w:t>
      </w:r>
    </w:p>
    <w:p w:rsidR="00580520" w:rsidRDefault="00580520" w:rsidP="00580520">
      <w:pPr>
        <w:pStyle w:val="noindent"/>
        <w:jc w:val="both"/>
        <w:rPr>
          <w:rFonts w:ascii="ACaslonPro-Regular" w:hAnsi="ACaslonPro-Regular"/>
          <w:color w:val="000000"/>
        </w:rPr>
      </w:pPr>
      <w:r>
        <w:rPr>
          <w:rFonts w:ascii="ACaslonPro-Regular" w:hAnsi="ACaslonPro-Regular"/>
          <w:color w:val="000000"/>
        </w:rPr>
        <w:t xml:space="preserve">There are no perfect answers or solutions when it comes to the complexities of diversity and social justice. Nobody has invented a magic formula for solving the issues swirling around South </w:t>
      </w:r>
      <w:proofErr w:type="spellStart"/>
      <w:r>
        <w:rPr>
          <w:rFonts w:ascii="ACaslonPro-Regular" w:hAnsi="ACaslonPro-Regular"/>
          <w:color w:val="000000"/>
        </w:rPr>
        <w:t>Dovetown</w:t>
      </w:r>
      <w:proofErr w:type="spellEnd"/>
      <w:r>
        <w:rPr>
          <w:rFonts w:ascii="ACaslonPro-Regular" w:hAnsi="ACaslonPro-Regular"/>
          <w:color w:val="000000"/>
        </w:rPr>
        <w:t>. The scarcity of right answers underlines why we must develop and hone the knowledge and skills that help us to make sense of real-life messiness. Otherwise we risk allowing ourselves to be swayed by popular mythology and how we’ve been socialized to buy into that mythology when we respond to bias and inequity. We risk responding without an intricate understanding for why certain conditions exist in our classrooms and schools.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So, what would you do if you were Ms. </w:t>
      </w:r>
      <w:proofErr w:type="spellStart"/>
      <w:r>
        <w:rPr>
          <w:rFonts w:ascii="ACaslonPro-Regular" w:hAnsi="ACaslonPro-Regular"/>
          <w:color w:val="000000"/>
        </w:rPr>
        <w:t>Samaya</w:t>
      </w:r>
      <w:proofErr w:type="spellEnd"/>
      <w:r>
        <w:rPr>
          <w:rFonts w:ascii="ACaslonPro-Regular" w:hAnsi="ACaslonPro-Regular"/>
          <w:color w:val="000000"/>
        </w:rPr>
        <w:t xml:space="preserve"> or one of Ms. </w:t>
      </w:r>
      <w:proofErr w:type="spellStart"/>
      <w:r>
        <w:rPr>
          <w:rFonts w:ascii="ACaslonPro-Regular" w:hAnsi="ACaslonPro-Regular"/>
          <w:color w:val="000000"/>
        </w:rPr>
        <w:t>Samaya’s</w:t>
      </w:r>
      <w:proofErr w:type="spellEnd"/>
      <w:r>
        <w:rPr>
          <w:rFonts w:ascii="ACaslonPro-Regular" w:hAnsi="ACaslonPro-Regular"/>
          <w:color w:val="000000"/>
        </w:rPr>
        <w:t xml:space="preserve"> colleagues attending that meeting? What would you do in the immediate term? Would you challenge Principal Smith or Ms. Allister? Would you attempt to invite others at the meeting into a conversation about why an anti-bullying workshop sometime in the future is not an adequate response? Would you look for other ways to support Somali and Central American students?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Just as importantly, how would you respond in the longer term, knowing others in the room might share Ms. Allister’s beliefs or Mr. Smith’s misunderstandings? How might you seek and share deeper insights about how Mayor Barton’s election might affect students in the long run? How would you use what you learn to become a more equitable educator, not just for current students, but for future students?</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p.5</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Certainly, as much as we might want to do so, we cannot in our roles as educators control some of the bigger life situations in which our students and their families find themselves. We might not </w:t>
      </w:r>
      <w:r>
        <w:rPr>
          <w:rFonts w:ascii="ACaslonPro-Regular" w:hAnsi="ACaslonPro-Regular"/>
          <w:color w:val="000000"/>
        </w:rPr>
        <w:lastRenderedPageBreak/>
        <w:t>have the power in our roles as educators to eliminate racism and xenophobia from society; we probably don’t have the power to change the fact that students will come to school with biases they learned from their parents or from the media. We </w:t>
      </w:r>
      <w:r>
        <w:rPr>
          <w:rStyle w:val="italic"/>
          <w:rFonts w:ascii="ACaslonPro-Italic" w:hAnsi="ACaslonPro-Italic"/>
          <w:color w:val="000000"/>
        </w:rPr>
        <w:t>do</w:t>
      </w:r>
      <w:r>
        <w:rPr>
          <w:rFonts w:ascii="ACaslonPro-Regular" w:hAnsi="ACaslonPro-Regular"/>
          <w:color w:val="000000"/>
        </w:rPr>
        <w:t>, however, have the power to understand how our students’ lives outside of school—the repressions they and their families face, the inequities with which they contend—inform the way they experience us and school. We have the power to strengthen our abilities to create equitable learning environments and to maintain high expectations for all students by considering these contextual factors in addition to the everyday practicalities of our work as we shape our professional practice. We have the power to offer students new options for how to interpret what they see and hear.</w:t>
      </w:r>
    </w:p>
    <w:p w:rsidR="00580520" w:rsidRDefault="00580520" w:rsidP="00580520">
      <w:pPr>
        <w:pStyle w:val="h1"/>
        <w:spacing w:before="360" w:beforeAutospacing="0" w:after="0" w:afterAutospacing="0"/>
        <w:rPr>
          <w:rFonts w:ascii="ACaslonPro-Semibold" w:hAnsi="ACaslonPro-Semibold"/>
          <w:color w:val="000000"/>
          <w:sz w:val="31"/>
          <w:szCs w:val="31"/>
        </w:rPr>
      </w:pPr>
      <w:hyperlink r:id="rId5" w:anchor="rs1-1" w:history="1">
        <w:r>
          <w:rPr>
            <w:rStyle w:val="hyperlink"/>
            <w:rFonts w:ascii="ACaslonPro-Semibold" w:hAnsi="ACaslonPro-Semibold"/>
            <w:color w:val="0000FF"/>
            <w:sz w:val="31"/>
            <w:szCs w:val="31"/>
            <w:u w:val="single"/>
          </w:rPr>
          <w:t>The Case Method</w:t>
        </w:r>
      </w:hyperlink>
    </w:p>
    <w:p w:rsidR="00580520" w:rsidRDefault="00580520" w:rsidP="00580520">
      <w:pPr>
        <w:pStyle w:val="noindent"/>
        <w:jc w:val="both"/>
        <w:rPr>
          <w:rFonts w:ascii="ACaslonPro-Regular" w:hAnsi="ACaslonPro-Regular"/>
          <w:color w:val="000000"/>
        </w:rPr>
      </w:pPr>
      <w:r>
        <w:rPr>
          <w:rFonts w:ascii="ACaslonPro-Regular" w:hAnsi="ACaslonPro-Regular"/>
          <w:color w:val="000000"/>
        </w:rPr>
        <w:t xml:space="preserve">One tool—in our experience, a particularly effective one—for strengthening these abilities is commonly called the “case method.” The premise of the case method is, by analyzing real-life scenarios based on actual events, such as the situation at South </w:t>
      </w:r>
      <w:proofErr w:type="spellStart"/>
      <w:r>
        <w:rPr>
          <w:rFonts w:ascii="ACaslonPro-Regular" w:hAnsi="ACaslonPro-Regular"/>
          <w:color w:val="000000"/>
        </w:rPr>
        <w:t>Dovetown</w:t>
      </w:r>
      <w:proofErr w:type="spellEnd"/>
      <w:r>
        <w:rPr>
          <w:rFonts w:ascii="ACaslonPro-Regular" w:hAnsi="ACaslonPro-Regular"/>
          <w:color w:val="000000"/>
        </w:rPr>
        <w:t>, we can practice applying theoretical ideas (like </w:t>
      </w:r>
      <w:r>
        <w:rPr>
          <w:rStyle w:val="italic"/>
          <w:rFonts w:ascii="ACaslonPro-Italic" w:hAnsi="ACaslonPro-Italic"/>
          <w:color w:val="000000"/>
        </w:rPr>
        <w:t>educational equity</w:t>
      </w:r>
      <w:r>
        <w:rPr>
          <w:rFonts w:ascii="ACaslonPro-Regular" w:hAnsi="ACaslonPro-Regular"/>
          <w:color w:val="000000"/>
        </w:rPr>
        <w:t xml:space="preserve">) to on-the-ground professional practice (Darling-Hammond, 2006). The case method enables us to practice stepping through a process of considering a range of perspectives and angles, to practice seeing the full complexity of school and classroom situations, and, as a result, to consider in a more focused manner how we might respond. In this sense, in the words of William and Margaret </w:t>
      </w:r>
      <w:proofErr w:type="spellStart"/>
      <w:r>
        <w:rPr>
          <w:rFonts w:ascii="ACaslonPro-Regular" w:hAnsi="ACaslonPro-Regular"/>
          <w:color w:val="000000"/>
        </w:rPr>
        <w:t>Naumes</w:t>
      </w:r>
      <w:proofErr w:type="spellEnd"/>
      <w:r>
        <w:rPr>
          <w:rFonts w:ascii="ACaslonPro-Regular" w:hAnsi="ACaslonPro-Regular"/>
          <w:color w:val="000000"/>
        </w:rPr>
        <w:t xml:space="preserve"> (1999), the case method is an “active pedagogical practice” (p. 11), an applicative process designed to build our capacities for evaluating and implementing mindful responses to complex, and often inequitable, school and classroom conditions (Leonard &amp; Cook, 2010). In fact, studies have demonstrated the case method’s effectiveness in deepening critical thinking abilities, problem-solving skills, and other competencies in professionals from a variety of fields, including neuroscience (Rosenbaum et al., 2014), nursing (Mills et al., 2014), food studies (</w:t>
      </w:r>
      <w:proofErr w:type="spellStart"/>
      <w:r>
        <w:rPr>
          <w:rFonts w:ascii="ACaslonPro-Regular" w:hAnsi="ACaslonPro-Regular"/>
          <w:color w:val="000000"/>
        </w:rPr>
        <w:t>Gallego</w:t>
      </w:r>
      <w:proofErr w:type="spellEnd"/>
      <w:r>
        <w:rPr>
          <w:rFonts w:ascii="ACaslonPro-Regular" w:hAnsi="ACaslonPro-Regular"/>
          <w:color w:val="000000"/>
        </w:rPr>
        <w:t xml:space="preserve"> et al., 2013), and of course education (Bonney, 2015; Brown &amp; </w:t>
      </w:r>
      <w:proofErr w:type="spellStart"/>
      <w:r>
        <w:rPr>
          <w:rFonts w:ascii="ACaslonPro-Regular" w:hAnsi="ACaslonPro-Regular"/>
          <w:color w:val="000000"/>
        </w:rPr>
        <w:t>Kraehe</w:t>
      </w:r>
      <w:proofErr w:type="spellEnd"/>
      <w:r>
        <w:rPr>
          <w:rFonts w:ascii="ACaslonPro-Regular" w:hAnsi="ACaslonPro-Regular"/>
          <w:color w:val="000000"/>
        </w:rPr>
        <w:t>, 2010).</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p.6</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Richard Foster and his colleagues (2010) explain, in this spirit, the nature of a case method “case”:</w:t>
      </w:r>
    </w:p>
    <w:p w:rsidR="00580520" w:rsidRDefault="00580520" w:rsidP="00580520">
      <w:pPr>
        <w:pStyle w:val="extract"/>
        <w:ind w:left="240" w:right="240"/>
        <w:jc w:val="both"/>
        <w:rPr>
          <w:rFonts w:ascii="ACaslonPro-Regular" w:hAnsi="ACaslonPro-Regular"/>
          <w:color w:val="000000"/>
          <w:sz w:val="22"/>
          <w:szCs w:val="22"/>
        </w:rPr>
      </w:pPr>
      <w:r>
        <w:rPr>
          <w:rFonts w:ascii="ACaslonPro-Regular" w:hAnsi="ACaslonPro-Regular"/>
          <w:color w:val="000000"/>
          <w:sz w:val="22"/>
          <w:szCs w:val="22"/>
        </w:rPr>
        <w:t>The teaching case is a story, a narrative if you will, usually based on actual events and told with a definite teaching purpose. It does not have a correct answer or obvious solution, relying instead on the nature of the real world where answers are difficult to come by and solutions are always contested. [We] are introduced to the need to think carefully, to listen to the points made by others and to evaluate those arguments, to review alternative courses of action and their efficacy, and to interpret real-world experience. (p. 523)</w:t>
      </w:r>
    </w:p>
    <w:p w:rsidR="00580520" w:rsidRDefault="00580520" w:rsidP="00580520">
      <w:pPr>
        <w:pStyle w:val="noindent"/>
        <w:jc w:val="both"/>
        <w:rPr>
          <w:rFonts w:ascii="ACaslonPro-Regular" w:hAnsi="ACaslonPro-Regular"/>
          <w:color w:val="000000"/>
        </w:rPr>
      </w:pPr>
      <w:r>
        <w:rPr>
          <w:rFonts w:ascii="ACaslonPro-Regular" w:hAnsi="ACaslonPro-Regular"/>
          <w:color w:val="000000"/>
        </w:rPr>
        <w:t>This, we think, is among the most formidable challenges the case method poses to current and future educators. In this era of high-stakes testing and standardization, when many of us feel increasingly desperate for practical solutions to complex problems, the idea that there usually isn’t a practical solution or “right answer” can be daunting. The point of examining cases like those in this book is not to be constrained by boxes—</w:t>
      </w:r>
      <w:r>
        <w:rPr>
          <w:rStyle w:val="italic"/>
          <w:rFonts w:ascii="ACaslonPro-Italic" w:hAnsi="ACaslonPro-Italic"/>
          <w:color w:val="000000"/>
        </w:rPr>
        <w:t>this</w:t>
      </w:r>
      <w:r>
        <w:rPr>
          <w:rFonts w:ascii="ACaslonPro-Regular" w:hAnsi="ACaslonPro-Regular"/>
          <w:color w:val="000000"/>
        </w:rPr>
        <w:t> is correct, so </w:t>
      </w:r>
      <w:r>
        <w:rPr>
          <w:rStyle w:val="italic"/>
          <w:rFonts w:ascii="ACaslonPro-Italic" w:hAnsi="ACaslonPro-Italic"/>
          <w:color w:val="000000"/>
        </w:rPr>
        <w:t>this</w:t>
      </w:r>
      <w:r>
        <w:rPr>
          <w:rFonts w:ascii="ACaslonPro-Regular" w:hAnsi="ACaslonPro-Regular"/>
          <w:color w:val="000000"/>
        </w:rPr>
        <w:t> must be incorrect</w:t>
      </w:r>
      <w:r>
        <w:rPr>
          <w:rStyle w:val="italic"/>
          <w:rFonts w:ascii="ACaslonPro-Italic" w:hAnsi="ACaslonPro-Italic"/>
          <w:color w:val="000000"/>
        </w:rPr>
        <w:t>—</w:t>
      </w:r>
      <w:r>
        <w:rPr>
          <w:rFonts w:ascii="ACaslonPro-Regular" w:hAnsi="ACaslonPro-Regular"/>
          <w:color w:val="000000"/>
        </w:rPr>
        <w:t xml:space="preserve">but rather to muddle through the gray areas by considering all that makes them gray. The case method allows </w:t>
      </w:r>
      <w:r>
        <w:rPr>
          <w:rFonts w:ascii="ACaslonPro-Regular" w:hAnsi="ACaslonPro-Regular"/>
          <w:color w:val="000000"/>
        </w:rPr>
        <w:lastRenderedPageBreak/>
        <w:t>us to do this in a way that few other pedagogical methods allow. This is how it helps us grow our </w:t>
      </w:r>
      <w:r>
        <w:rPr>
          <w:rStyle w:val="italic"/>
          <w:rFonts w:ascii="ACaslonPro-Italic" w:hAnsi="ACaslonPro-Italic"/>
          <w:color w:val="000000"/>
        </w:rPr>
        <w:t>equity literacy</w:t>
      </w:r>
      <w:r>
        <w:rPr>
          <w:rFonts w:ascii="ACaslonPro-Regular" w:hAnsi="ACaslonPro-Regular"/>
          <w:color w:val="000000"/>
        </w:rPr>
        <w:t>, as we will discuss in </w:t>
      </w:r>
      <w:hyperlink r:id="rId6" w:history="1">
        <w:r>
          <w:rPr>
            <w:rStyle w:val="hyperlink"/>
            <w:rFonts w:ascii="ACaslonPro-Regular" w:hAnsi="ACaslonPro-Regular"/>
            <w:color w:val="0000FF"/>
            <w:u w:val="single"/>
          </w:rPr>
          <w:t>Chapter 2</w:t>
        </w:r>
      </w:hyperlink>
      <w:r>
        <w:rPr>
          <w:rFonts w:ascii="ACaslonPro-Regular" w:hAnsi="ACaslonPro-Regular"/>
          <w:color w:val="000000"/>
        </w:rPr>
        <w:t>.</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 xml:space="preserve">The muddling is especially important when it comes to matters of diversity and social justice. After all, none of us wants to contribute to racial, or class, or gender injustices in our classrooms. We want all the students at South </w:t>
      </w:r>
      <w:proofErr w:type="spellStart"/>
      <w:r>
        <w:rPr>
          <w:rFonts w:ascii="ACaslonPro-Regular" w:hAnsi="ACaslonPro-Regular"/>
          <w:color w:val="000000"/>
        </w:rPr>
        <w:t>Dovetown</w:t>
      </w:r>
      <w:proofErr w:type="spellEnd"/>
      <w:r>
        <w:rPr>
          <w:rFonts w:ascii="ACaslonPro-Regular" w:hAnsi="ACaslonPro-Regular"/>
          <w:color w:val="000000"/>
        </w:rPr>
        <w:t xml:space="preserve"> to succeed, to be protected from racism, heterosexism, xenophobia, and other forms of oppression. The trouble is, we might not always understand how we help to create some of the barriers to their learning, despite our philosophical commitments to equity and justice.</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The other important diversity and social justice benefit of the case method is that it challenges us to question our own mental models by examining classroom situations through a variety of lenses (</w:t>
      </w:r>
      <w:proofErr w:type="spellStart"/>
      <w:r>
        <w:rPr>
          <w:rFonts w:ascii="ACaslonPro-Regular" w:hAnsi="ACaslonPro-Regular"/>
          <w:color w:val="000000"/>
        </w:rPr>
        <w:t>Gallucci</w:t>
      </w:r>
      <w:proofErr w:type="spellEnd"/>
      <w:r>
        <w:rPr>
          <w:rFonts w:ascii="ACaslonPro-Regular" w:hAnsi="ACaslonPro-Regular"/>
          <w:color w:val="000000"/>
        </w:rPr>
        <w:t xml:space="preserve">, 2006). It challenges us to practice asking the questions we might never have thought to ask; to reconsider old ways of thinking in light of new understandings. How do we see the situation at </w:t>
      </w:r>
      <w:proofErr w:type="spellStart"/>
      <w:r>
        <w:rPr>
          <w:rFonts w:ascii="ACaslonPro-Regular" w:hAnsi="ACaslonPro-Regular"/>
          <w:color w:val="000000"/>
        </w:rPr>
        <w:t>Dovetown</w:t>
      </w:r>
      <w:proofErr w:type="spellEnd"/>
      <w:r>
        <w:rPr>
          <w:rFonts w:ascii="ACaslonPro-Regular" w:hAnsi="ACaslonPro-Regular"/>
          <w:color w:val="000000"/>
        </w:rPr>
        <w:t xml:space="preserve"> differently when we let go of old notions that conflate anti-bullying efforts with equity and justice efforts or old ways of looking at things that mark inaction as apolitical and action as political? How might we think differently about ourselves as equitable and just educators when we learn better how to see past our presumptions and consider a broader picture? These are the sorts of questions that cannot be answered by theory alone or by memorizing “five practical strategies for teaching all immigrant students.” They require deeper, more critical, reflection: the kind encouraged by the case method.</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p.7</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With this in mind, we chose to write </w:t>
      </w:r>
      <w:r>
        <w:rPr>
          <w:rStyle w:val="italic"/>
          <w:rFonts w:ascii="ACaslonPro-Italic" w:hAnsi="ACaslonPro-Italic"/>
          <w:color w:val="000000"/>
        </w:rPr>
        <w:t>Case Studies on Diversity and Social Justice Education</w:t>
      </w:r>
      <w:r>
        <w:rPr>
          <w:rFonts w:ascii="ACaslonPro-Regular" w:hAnsi="ACaslonPro-Regular"/>
          <w:color w:val="000000"/>
        </w:rPr>
        <w:t> for several reasons. Firstly, especially since writing the first edition of this book, we have observed how the case method strengthens our efforts to prepare educators, including us, to think, teach, lead, and advocate more equitably and justly. As educators we have experienced situations similar to those described in our cases but have found too few opportunities to process what has happened as mindfully as possible. These cases provide an opportunity to practice doing just that.</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Additionally, as we mentioned earlier, when we haven’t practiced, it can be particularly challenging for us to “see” what is happening in our classrooms and schools unconstrained by our existing biases and ideologies. The case method provides opportunities to bolster these abilities by practicing thoughtful analysis and problem-solving skills. We have constructed the cases purposefully to challenge ourselves and our readers to consider our teaching in light of what Nieto and Bode (2011) call the </w:t>
      </w:r>
      <w:r>
        <w:rPr>
          <w:rStyle w:val="italic"/>
          <w:rFonts w:ascii="ACaslonPro-Italic" w:hAnsi="ACaslonPro-Italic"/>
          <w:color w:val="000000"/>
        </w:rPr>
        <w:t>sociopolitical context of schooling</w:t>
      </w:r>
      <w:r>
        <w:rPr>
          <w:rFonts w:ascii="ACaslonPro-Regular" w:hAnsi="ACaslonPro-Regular"/>
          <w:color w:val="000000"/>
        </w:rPr>
        <w:t>. Taking account of this sociopolitical context requires us to recognize the relationship between the inequities plaguing our schools and larger societal inequities, even when we don’t see those larger conditions as within our sphere of influence.</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It is our hope this book will create this kind of deeper reflection about equity, diversity, and social justice concerns in schools and, by doing so, encourage readers to consider how they might ensure </w:t>
      </w:r>
      <w:r>
        <w:rPr>
          <w:rStyle w:val="italic"/>
          <w:rFonts w:ascii="ACaslonPro-Italic" w:hAnsi="ACaslonPro-Italic"/>
          <w:color w:val="000000"/>
        </w:rPr>
        <w:t>all</w:t>
      </w:r>
      <w:r>
        <w:rPr>
          <w:rFonts w:ascii="ACaslonPro-Regular" w:hAnsi="ACaslonPro-Regular"/>
          <w:color w:val="000000"/>
        </w:rPr>
        <w:t> students have the opportunity to excel.</w:t>
      </w:r>
    </w:p>
    <w:p w:rsidR="00580520" w:rsidRDefault="00580520" w:rsidP="00580520">
      <w:pPr>
        <w:pStyle w:val="pagenum"/>
        <w:spacing w:before="300" w:beforeAutospacing="0" w:after="300" w:afterAutospacing="0"/>
        <w:jc w:val="right"/>
        <w:rPr>
          <w:rFonts w:ascii="ACaslonPro-Regular" w:hAnsi="ACaslonPro-Regular"/>
          <w:color w:val="97A4AA"/>
          <w:sz w:val="18"/>
          <w:szCs w:val="18"/>
        </w:rPr>
      </w:pPr>
      <w:r>
        <w:rPr>
          <w:rFonts w:ascii="ACaslonPro-Regular" w:hAnsi="ACaslonPro-Regular"/>
          <w:color w:val="97A4AA"/>
          <w:sz w:val="18"/>
          <w:szCs w:val="18"/>
        </w:rPr>
        <w:t>p.8</w:t>
      </w:r>
    </w:p>
    <w:p w:rsidR="00580520" w:rsidRDefault="00580520" w:rsidP="00580520">
      <w:pPr>
        <w:pStyle w:val="h1"/>
        <w:spacing w:before="360" w:beforeAutospacing="0" w:after="0" w:afterAutospacing="0"/>
        <w:rPr>
          <w:rFonts w:ascii="ACaslonPro-Semibold" w:hAnsi="ACaslonPro-Semibold"/>
          <w:color w:val="000000"/>
          <w:sz w:val="31"/>
          <w:szCs w:val="31"/>
        </w:rPr>
      </w:pPr>
      <w:hyperlink r:id="rId7" w:anchor="rs1-2" w:history="1">
        <w:r>
          <w:rPr>
            <w:rStyle w:val="hyperlink"/>
            <w:rFonts w:ascii="ACaslonPro-Semibold" w:hAnsi="ACaslonPro-Semibold"/>
            <w:color w:val="0000FF"/>
            <w:sz w:val="31"/>
            <w:szCs w:val="31"/>
            <w:u w:val="single"/>
          </w:rPr>
          <w:t>The Rest of This Book</w:t>
        </w:r>
      </w:hyperlink>
    </w:p>
    <w:p w:rsidR="00580520" w:rsidRDefault="00580520" w:rsidP="00580520">
      <w:pPr>
        <w:pStyle w:val="noindent"/>
        <w:jc w:val="both"/>
        <w:rPr>
          <w:rFonts w:ascii="ACaslonPro-Regular" w:hAnsi="ACaslonPro-Regular"/>
          <w:color w:val="000000"/>
        </w:rPr>
      </w:pPr>
      <w:r>
        <w:rPr>
          <w:rFonts w:ascii="ACaslonPro-Regular" w:hAnsi="ACaslonPro-Regular"/>
          <w:color w:val="000000"/>
        </w:rPr>
        <w:t>Without question, the essence of this book is in the cases themselves: 42 scenarios approximating actual school and classroom events we have witnessed ourselves or heard about from colleagues. Each case, written in a narrative style, presents a complex yet fairly common school or classroom scenario in which an injustice—sometimes implicit, sometimes explicit—might be in play. It is up to you, the reader, to weigh the situation and decide how to respond. Issues include racism and white privilege; sexism, transphobia, and male- and cis-privilege; heterosexism and heteronormativity; poverty and economic injustice; language bias and linguicism; religious-based oppression; and various intersections of these and other conditions.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In order to encourage the complex analysis we believe best prepares us to understand and respond to inequitable classroom and school conditions, we follow this Introduction, in </w:t>
      </w:r>
      <w:hyperlink r:id="rId8" w:history="1">
        <w:r>
          <w:rPr>
            <w:rStyle w:val="hyperlink"/>
            <w:rFonts w:ascii="ACaslonPro-Regular" w:hAnsi="ACaslonPro-Regular"/>
            <w:color w:val="0000FF"/>
            <w:u w:val="single"/>
          </w:rPr>
          <w:t>Chapter 2</w:t>
        </w:r>
      </w:hyperlink>
      <w:r>
        <w:rPr>
          <w:rFonts w:ascii="ACaslonPro-Regular" w:hAnsi="ACaslonPro-Regular"/>
          <w:color w:val="000000"/>
        </w:rPr>
        <w:t>, by outlining a case analysis process constructed and honed through our combined decades’ worth of teaching and teacher professional development experience. We also step back through the case incorporated into this Introduction to demonstrate how to apply the case analysis process.</w:t>
      </w:r>
    </w:p>
    <w:p w:rsidR="00580520" w:rsidRDefault="00580520" w:rsidP="00580520">
      <w:pPr>
        <w:pStyle w:val="indent"/>
        <w:spacing w:before="0" w:beforeAutospacing="0"/>
        <w:ind w:firstLine="240"/>
        <w:jc w:val="both"/>
        <w:rPr>
          <w:rFonts w:ascii="ACaslonPro-Regular" w:hAnsi="ACaslonPro-Regular"/>
          <w:color w:val="000000"/>
        </w:rPr>
      </w:pPr>
      <w:hyperlink r:id="rId9" w:history="1">
        <w:r>
          <w:rPr>
            <w:rStyle w:val="hyperlink"/>
            <w:rFonts w:ascii="ACaslonPro-Regular" w:hAnsi="ACaslonPro-Regular"/>
            <w:color w:val="0000FF"/>
            <w:u w:val="single"/>
          </w:rPr>
          <w:t>Chapters 3</w:t>
        </w:r>
      </w:hyperlink>
      <w:r>
        <w:rPr>
          <w:rFonts w:ascii="ACaslonPro-Regular" w:hAnsi="ACaslonPro-Regular"/>
          <w:color w:val="000000"/>
        </w:rPr>
        <w:t> through </w:t>
      </w:r>
      <w:hyperlink r:id="rId10" w:history="1">
        <w:r>
          <w:rPr>
            <w:rStyle w:val="hyperlink"/>
            <w:rFonts w:ascii="ACaslonPro-Regular" w:hAnsi="ACaslonPro-Regular"/>
            <w:color w:val="0000FF"/>
            <w:u w:val="single"/>
          </w:rPr>
          <w:t>11</w:t>
        </w:r>
      </w:hyperlink>
      <w:r>
        <w:rPr>
          <w:rFonts w:ascii="ACaslonPro-Regular" w:hAnsi="ACaslonPro-Regular"/>
          <w:color w:val="000000"/>
        </w:rPr>
        <w:t> contain cases specific to particular identities and oppressions. Each case includes a section of facilitator notes—we call them “Points for Consideration”—comprised of recommendations for issues and concepts that can be highlighted and explored. These can be found in </w:t>
      </w:r>
      <w:hyperlink r:id="rId11" w:history="1">
        <w:r>
          <w:rPr>
            <w:rStyle w:val="hyperlink"/>
            <w:rFonts w:ascii="ACaslonPro-Regular" w:hAnsi="ACaslonPro-Regular"/>
            <w:color w:val="0000FF"/>
            <w:u w:val="single"/>
          </w:rPr>
          <w:t>Appendix B</w:t>
        </w:r>
      </w:hyperlink>
      <w:r>
        <w:rPr>
          <w:rFonts w:ascii="ACaslonPro-Regular" w:hAnsi="ACaslonPro-Regular"/>
          <w:color w:val="000000"/>
        </w:rPr>
        <w:t>. This unique feature provides valuable insights for understanding the cases’ nuances and for applying important concepts to the analysis process. Each case also includes a series of questions intended to encourage deep, informed reflection. We should mention that the division of the cases into identity-based chapters is imprecise. Most cases address multiple identities and oppressions.</w:t>
      </w:r>
    </w:p>
    <w:p w:rsidR="00580520" w:rsidRDefault="00580520" w:rsidP="00580520">
      <w:pPr>
        <w:pStyle w:val="indent"/>
        <w:spacing w:before="0" w:beforeAutospacing="0"/>
        <w:ind w:firstLine="240"/>
        <w:jc w:val="both"/>
        <w:rPr>
          <w:rFonts w:ascii="ACaslonPro-Regular" w:hAnsi="ACaslonPro-Regular"/>
          <w:color w:val="000000"/>
        </w:rPr>
      </w:pPr>
      <w:r>
        <w:rPr>
          <w:rFonts w:ascii="ACaslonPro-Regular" w:hAnsi="ACaslonPro-Regular"/>
          <w:color w:val="000000"/>
        </w:rPr>
        <w:t>Finally, although we specify in some cases whether they occurred in an elementary, middle, or high school, most of the cases are written to be applicable across age groups.</w:t>
      </w:r>
    </w:p>
    <w:p w:rsidR="00580520" w:rsidRPr="00580520" w:rsidRDefault="00580520" w:rsidP="00580520">
      <w:pPr>
        <w:spacing w:before="100" w:beforeAutospacing="1" w:after="0" w:line="240" w:lineRule="auto"/>
        <w:jc w:val="right"/>
        <w:rPr>
          <w:rFonts w:ascii="Copperplate-Gothic-Light" w:eastAsia="Times New Roman" w:hAnsi="Copperplate-Gothic-Light" w:cs="Times New Roman"/>
          <w:color w:val="000000"/>
          <w:sz w:val="41"/>
          <w:szCs w:val="41"/>
        </w:rPr>
      </w:pPr>
      <w:hyperlink r:id="rId12" w:anchor="ch2" w:history="1">
        <w:r w:rsidRPr="00580520">
          <w:rPr>
            <w:rFonts w:ascii="Copperplate-Gothic-Light" w:eastAsia="Times New Roman" w:hAnsi="Copperplate-Gothic-Light" w:cs="Times New Roman"/>
            <w:color w:val="0000FF"/>
            <w:sz w:val="41"/>
            <w:szCs w:val="41"/>
            <w:u w:val="single"/>
          </w:rPr>
          <w:t>2</w:t>
        </w:r>
      </w:hyperlink>
    </w:p>
    <w:p w:rsidR="00580520" w:rsidRPr="00580520" w:rsidRDefault="00580520" w:rsidP="00580520">
      <w:pPr>
        <w:spacing w:before="100" w:beforeAutospacing="1" w:after="720" w:line="240" w:lineRule="auto"/>
        <w:jc w:val="right"/>
        <w:rPr>
          <w:rFonts w:ascii="TradeGothicLH-Extended" w:eastAsia="Times New Roman" w:hAnsi="TradeGothicLH-Extended" w:cs="Times New Roman"/>
          <w:color w:val="000000"/>
          <w:sz w:val="43"/>
          <w:szCs w:val="43"/>
        </w:rPr>
      </w:pPr>
      <w:hyperlink r:id="rId13" w:anchor="ch2" w:history="1">
        <w:r w:rsidRPr="00580520">
          <w:rPr>
            <w:rFonts w:ascii="TradeGothicLH-Extended" w:eastAsia="Times New Roman" w:hAnsi="TradeGothicLH-Extended" w:cs="Times New Roman"/>
            <w:color w:val="0000FF"/>
            <w:sz w:val="43"/>
            <w:szCs w:val="43"/>
            <w:u w:val="single"/>
          </w:rPr>
          <w:t>A</w:t>
        </w:r>
        <w:r w:rsidRPr="00580520">
          <w:rPr>
            <w:rFonts w:ascii="TradeGothicLH-Extended" w:eastAsia="Times New Roman" w:hAnsi="TradeGothicLH-Extended" w:cs="Times New Roman"/>
            <w:color w:val="0000FF"/>
            <w:sz w:val="36"/>
            <w:szCs w:val="36"/>
            <w:u w:val="single"/>
          </w:rPr>
          <w:t>NALYZING</w:t>
        </w:r>
        <w:r w:rsidRPr="00580520">
          <w:rPr>
            <w:rFonts w:ascii="TradeGothicLH-Extended" w:eastAsia="Times New Roman" w:hAnsi="TradeGothicLH-Extended" w:cs="Times New Roman"/>
            <w:color w:val="0000FF"/>
            <w:sz w:val="43"/>
            <w:szCs w:val="43"/>
            <w:u w:val="single"/>
          </w:rPr>
          <w:t> C</w:t>
        </w:r>
        <w:r w:rsidRPr="00580520">
          <w:rPr>
            <w:rFonts w:ascii="TradeGothicLH-Extended" w:eastAsia="Times New Roman" w:hAnsi="TradeGothicLH-Extended" w:cs="Times New Roman"/>
            <w:color w:val="0000FF"/>
            <w:sz w:val="36"/>
            <w:szCs w:val="36"/>
            <w:u w:val="single"/>
          </w:rPr>
          <w:t>ASES</w:t>
        </w:r>
        <w:r w:rsidRPr="00580520">
          <w:rPr>
            <w:rFonts w:ascii="TradeGothicLH-Extended" w:eastAsia="Times New Roman" w:hAnsi="TradeGothicLH-Extended" w:cs="Times New Roman"/>
            <w:color w:val="0000FF"/>
            <w:sz w:val="43"/>
            <w:szCs w:val="43"/>
            <w:u w:val="single"/>
          </w:rPr>
          <w:t> U</w:t>
        </w:r>
        <w:r w:rsidRPr="00580520">
          <w:rPr>
            <w:rFonts w:ascii="TradeGothicLH-Extended" w:eastAsia="Times New Roman" w:hAnsi="TradeGothicLH-Extended" w:cs="Times New Roman"/>
            <w:color w:val="0000FF"/>
            <w:sz w:val="36"/>
            <w:szCs w:val="36"/>
            <w:u w:val="single"/>
          </w:rPr>
          <w:t>SING THE</w:t>
        </w:r>
        <w:r w:rsidRPr="00580520">
          <w:rPr>
            <w:rFonts w:ascii="TradeGothicLH-Extended" w:eastAsia="Times New Roman" w:hAnsi="TradeGothicLH-Extended" w:cs="Times New Roman"/>
            <w:color w:val="0000FF"/>
            <w:sz w:val="43"/>
            <w:szCs w:val="43"/>
            <w:u w:val="single"/>
          </w:rPr>
          <w:t> E</w:t>
        </w:r>
        <w:r w:rsidRPr="00580520">
          <w:rPr>
            <w:rFonts w:ascii="TradeGothicLH-Extended" w:eastAsia="Times New Roman" w:hAnsi="TradeGothicLH-Extended" w:cs="Times New Roman"/>
            <w:color w:val="0000FF"/>
            <w:sz w:val="36"/>
            <w:szCs w:val="36"/>
            <w:u w:val="single"/>
          </w:rPr>
          <w:t>QUITY</w:t>
        </w:r>
        <w:r w:rsidRPr="00580520">
          <w:rPr>
            <w:rFonts w:ascii="TradeGothicLH-Extended" w:eastAsia="Times New Roman" w:hAnsi="TradeGothicLH-Extended" w:cs="Times New Roman"/>
            <w:color w:val="0000FF"/>
            <w:sz w:val="43"/>
            <w:szCs w:val="43"/>
            <w:u w:val="single"/>
          </w:rPr>
          <w:t>L</w:t>
        </w:r>
        <w:r w:rsidRPr="00580520">
          <w:rPr>
            <w:rFonts w:ascii="TradeGothicLH-Extended" w:eastAsia="Times New Roman" w:hAnsi="TradeGothicLH-Extended" w:cs="Times New Roman"/>
            <w:color w:val="0000FF"/>
            <w:sz w:val="36"/>
            <w:szCs w:val="36"/>
            <w:u w:val="single"/>
          </w:rPr>
          <w:t>ITERACY</w:t>
        </w:r>
        <w:r w:rsidRPr="00580520">
          <w:rPr>
            <w:rFonts w:ascii="TradeGothicLH-Extended" w:eastAsia="Times New Roman" w:hAnsi="TradeGothicLH-Extended" w:cs="Times New Roman"/>
            <w:color w:val="0000FF"/>
            <w:sz w:val="43"/>
            <w:szCs w:val="43"/>
            <w:u w:val="single"/>
          </w:rPr>
          <w:t> F</w:t>
        </w:r>
        <w:r w:rsidRPr="00580520">
          <w:rPr>
            <w:rFonts w:ascii="TradeGothicLH-Extended" w:eastAsia="Times New Roman" w:hAnsi="TradeGothicLH-Extended" w:cs="Times New Roman"/>
            <w:color w:val="0000FF"/>
            <w:sz w:val="36"/>
            <w:szCs w:val="36"/>
            <w:u w:val="single"/>
          </w:rPr>
          <w:t>RAMEWORK</w:t>
        </w:r>
      </w:hyperlink>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The trouble with most school diversity and social justice education initiatives is not so much a shortage of strategies or approaches for making classrooms and schools more equitable and just. We often feel buried in strategies and approaches. If it’s not the now-debunked focus on “learning styles,” it’s “grit.” If it’s not “grit” it’s the “mindset of poverty.” If it’s not that, it’s just about anything else that enables us to step gingerly around real conversations about issues like racism, heterosexism, and ableism in schools.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lastRenderedPageBreak/>
        <w:t>Neither is the problem a scarcity of people who appreciate diversity. We can point to unapologetic bigots in every field, including education. In our experience, though, most educators appreciate diversity at least philosophically and very few exhibit explicit bigotry.</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Instead, in our experience, the trouble is the familiar cycle of educators and schools adopting simplistic, ineffective strategies and approaches for attending to diversity that pose no threat to inequity. We might appreciate diversity, but that appreciation by itself does not prepare us to cultivate equity in our classrooms and schools. So we adopt and apply a steady stream of strategies and build a variety of initiatives for “closing” the “achievement gap,” but do we understand the conditions that underlie the “achievement gap” well enough to build initiatives that respond to them adequately? Do we see how the thing we call an achievement gap is more aptly described as an </w:t>
      </w:r>
      <w:r w:rsidRPr="00580520">
        <w:rPr>
          <w:rFonts w:ascii="ACaslonPro-Italic" w:eastAsia="Times New Roman" w:hAnsi="ACaslonPro-Italic" w:cs="Times New Roman"/>
          <w:color w:val="000000"/>
          <w:sz w:val="24"/>
          <w:szCs w:val="24"/>
        </w:rPr>
        <w:t>opportunity gap</w:t>
      </w:r>
      <w:r w:rsidRPr="00580520">
        <w:rPr>
          <w:rFonts w:ascii="ACaslonPro-Regular" w:eastAsia="Times New Roman" w:hAnsi="ACaslonPro-Regular" w:cs="Times New Roman"/>
          <w:color w:val="000000"/>
          <w:sz w:val="24"/>
          <w:szCs w:val="24"/>
        </w:rPr>
        <w:t>? This is important, because if we can’t see the opportunity gap, we have no real shot at eliminating the achievement gap.</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p.10</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We wrote this book to help you, the reader, practice this kind of seeing.</w:t>
      </w:r>
    </w:p>
    <w:p w:rsidR="00580520" w:rsidRPr="00580520" w:rsidRDefault="00580520" w:rsidP="00580520">
      <w:pPr>
        <w:spacing w:before="360" w:after="0" w:line="240" w:lineRule="auto"/>
        <w:rPr>
          <w:rFonts w:ascii="ACaslonPro-Semibold" w:eastAsia="Times New Roman" w:hAnsi="ACaslonPro-Semibold" w:cs="Times New Roman"/>
          <w:color w:val="000000"/>
          <w:sz w:val="31"/>
          <w:szCs w:val="31"/>
        </w:rPr>
      </w:pPr>
      <w:hyperlink r:id="rId14" w:anchor="rs1-1a" w:history="1">
        <w:r w:rsidRPr="00580520">
          <w:rPr>
            <w:rFonts w:ascii="ACaslonPro-Semibold" w:eastAsia="Times New Roman" w:hAnsi="ACaslonPro-Semibold" w:cs="Times New Roman"/>
            <w:color w:val="0000FF"/>
            <w:sz w:val="31"/>
            <w:szCs w:val="31"/>
            <w:u w:val="single"/>
          </w:rPr>
          <w:t>Equity Literacy Framework</w:t>
        </w:r>
      </w:hyperlink>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Our goal was to use case study or case scenario pedagogy to provide an engaging vehicle for posing the kinds of questions that help strengthen educators’ </w:t>
      </w:r>
      <w:r w:rsidRPr="00580520">
        <w:rPr>
          <w:rFonts w:ascii="ACaslonPro-Italic" w:eastAsia="Times New Roman" w:hAnsi="ACaslonPro-Italic" w:cs="Times New Roman"/>
          <w:color w:val="000000"/>
          <w:sz w:val="24"/>
          <w:szCs w:val="24"/>
        </w:rPr>
        <w:t>equity literacy</w:t>
      </w:r>
      <w:r w:rsidRPr="00580520">
        <w:rPr>
          <w:rFonts w:ascii="ACaslonPro-Regular" w:eastAsia="Times New Roman" w:hAnsi="ACaslonPro-Regular" w:cs="Times New Roman"/>
          <w:color w:val="000000"/>
          <w:sz w:val="24"/>
          <w:szCs w:val="24"/>
        </w:rPr>
        <w:t xml:space="preserve"> (Gorski &amp; </w:t>
      </w:r>
      <w:proofErr w:type="spellStart"/>
      <w:r w:rsidRPr="00580520">
        <w:rPr>
          <w:rFonts w:ascii="ACaslonPro-Regular" w:eastAsia="Times New Roman" w:hAnsi="ACaslonPro-Regular" w:cs="Times New Roman"/>
          <w:color w:val="000000"/>
          <w:sz w:val="24"/>
          <w:szCs w:val="24"/>
        </w:rPr>
        <w:t>Swalwell</w:t>
      </w:r>
      <w:proofErr w:type="spellEnd"/>
      <w:r w:rsidRPr="00580520">
        <w:rPr>
          <w:rFonts w:ascii="ACaslonPro-Regular" w:eastAsia="Times New Roman" w:hAnsi="ACaslonPro-Regular" w:cs="Times New Roman"/>
          <w:color w:val="000000"/>
          <w:sz w:val="24"/>
          <w:szCs w:val="24"/>
        </w:rPr>
        <w:t xml:space="preserve">, 2015; </w:t>
      </w:r>
      <w:proofErr w:type="spellStart"/>
      <w:r w:rsidRPr="00580520">
        <w:rPr>
          <w:rFonts w:ascii="ACaslonPro-Regular" w:eastAsia="Times New Roman" w:hAnsi="ACaslonPro-Regular" w:cs="Times New Roman"/>
          <w:color w:val="000000"/>
          <w:sz w:val="24"/>
          <w:szCs w:val="24"/>
        </w:rPr>
        <w:t>Swalwell</w:t>
      </w:r>
      <w:proofErr w:type="spellEnd"/>
      <w:r w:rsidRPr="00580520">
        <w:rPr>
          <w:rFonts w:ascii="ACaslonPro-Regular" w:eastAsia="Times New Roman" w:hAnsi="ACaslonPro-Regular" w:cs="Times New Roman"/>
          <w:color w:val="000000"/>
          <w:sz w:val="24"/>
          <w:szCs w:val="24"/>
        </w:rPr>
        <w:t>, 2011)—educators’ </w:t>
      </w:r>
      <w:r w:rsidRPr="00580520">
        <w:rPr>
          <w:rFonts w:ascii="ACaslonPro-Italic" w:eastAsia="Times New Roman" w:hAnsi="ACaslonPro-Italic" w:cs="Times New Roman"/>
          <w:color w:val="000000"/>
          <w:sz w:val="24"/>
          <w:szCs w:val="24"/>
        </w:rPr>
        <w:t>literacy</w:t>
      </w:r>
      <w:r w:rsidRPr="00580520">
        <w:rPr>
          <w:rFonts w:ascii="ACaslonPro-Regular" w:eastAsia="Times New Roman" w:hAnsi="ACaslonPro-Regular" w:cs="Times New Roman"/>
          <w:color w:val="000000"/>
          <w:sz w:val="24"/>
          <w:szCs w:val="24"/>
        </w:rPr>
        <w:t> related to </w:t>
      </w:r>
      <w:r w:rsidRPr="00580520">
        <w:rPr>
          <w:rFonts w:ascii="ACaslonPro-Italic" w:eastAsia="Times New Roman" w:hAnsi="ACaslonPro-Italic" w:cs="Times New Roman"/>
          <w:color w:val="000000"/>
          <w:sz w:val="24"/>
          <w:szCs w:val="24"/>
        </w:rPr>
        <w:t>equity</w:t>
      </w:r>
      <w:r w:rsidRPr="00580520">
        <w:rPr>
          <w:rFonts w:ascii="ACaslonPro-Regular" w:eastAsia="Times New Roman" w:hAnsi="ACaslonPro-Regular" w:cs="Times New Roman"/>
          <w:color w:val="000000"/>
          <w:sz w:val="24"/>
          <w:szCs w:val="24"/>
        </w:rPr>
        <w:t>. In the most basic terms equity literacy refers to the knowledge and skills we need as educators to be a threat to the existence of bias and inequity in our spheres of influence (Gorski, 2016, 2017). It refers to the knowledge and skills that prepare us, not to fix the cultures or mindsets of this or that group of students, not merely to appreciate diversity, but to root bias and inequity out of our classrooms, schools, and communities.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This is what sets equity literacy apart from cultural competence, intercultural relations, and many other popular frameworks for attending to diversity in schools. It encourages us to understand dynamics related to, say, race or gender identity, not just in terms of interpersonal or cultural conflict, but also as part of bigger, broader social and cultural conditions. When we develop our equity literacy, we naturally filter every decision through an equity lens. We begin to recognize subtle biases and inequities we previously didn’t see. And we don’t just recognize them. We understand them and our roles as educators as parts of a bigger equity and justice context. It’s not about doing a bunch of new things, necessarily, like adding new strategies to our existing mental </w:t>
      </w:r>
      <w:proofErr w:type="spellStart"/>
      <w:r w:rsidRPr="00580520">
        <w:rPr>
          <w:rFonts w:ascii="ACaslonPro-Regular" w:eastAsia="Times New Roman" w:hAnsi="ACaslonPro-Regular" w:cs="Times New Roman"/>
          <w:color w:val="000000"/>
          <w:sz w:val="24"/>
          <w:szCs w:val="24"/>
        </w:rPr>
        <w:t>filebook</w:t>
      </w:r>
      <w:proofErr w:type="spellEnd"/>
      <w:r w:rsidRPr="00580520">
        <w:rPr>
          <w:rFonts w:ascii="ACaslonPro-Regular" w:eastAsia="Times New Roman" w:hAnsi="ACaslonPro-Regular" w:cs="Times New Roman"/>
          <w:color w:val="000000"/>
          <w:sz w:val="24"/>
          <w:szCs w:val="24"/>
        </w:rPr>
        <w:t xml:space="preserve"> of strategies. Instead it’s about developing the ability to do everything we do with equity in mind.</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Thinking back to South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Middle School, the principal, Mr. Smith, dismissed Ms. </w:t>
      </w:r>
      <w:proofErr w:type="spellStart"/>
      <w:r w:rsidRPr="00580520">
        <w:rPr>
          <w:rFonts w:ascii="ACaslonPro-Regular" w:eastAsia="Times New Roman" w:hAnsi="ACaslonPro-Regular" w:cs="Times New Roman"/>
          <w:color w:val="000000"/>
          <w:sz w:val="24"/>
          <w:szCs w:val="24"/>
        </w:rPr>
        <w:t>Samaya’s</w:t>
      </w:r>
      <w:proofErr w:type="spellEnd"/>
      <w:r w:rsidRPr="00580520">
        <w:rPr>
          <w:rFonts w:ascii="ACaslonPro-Regular" w:eastAsia="Times New Roman" w:hAnsi="ACaslonPro-Regular" w:cs="Times New Roman"/>
          <w:color w:val="000000"/>
          <w:sz w:val="24"/>
          <w:szCs w:val="24"/>
        </w:rPr>
        <w:t xml:space="preserve"> recommendation that the school should make a public statement asserting its commitment to being welcoming for all students. He reasoned such a statement might offend people who voted for Mayor Barton, who had rallied his base in part by demonizing immigrants. Making a public statement is a political act, he argued, and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should not enter the political fray.</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lastRenderedPageBreak/>
        <w:t>p.11</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It might be easy to read Principal Smith’s reaction as reasonable or even as diversity-conscious. He doesn’t want to alienate families who voted for Mr. Barton. They are part of the school community, too. And remember, he did initiate plans for an anti-bullying workshop. Certainly, many people working in schools could use help recognizing and responding to bullying.</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On the other hand, if we apply an equity literacy lens and do a deep diversity and social justice dive into the situation at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we might see things differently. There’s something deeper, more complex, going on in this scenario. Bullying is a symptom of that something, not the core issue. The something involves broader social conditions and privilege, racial entitlement, and institutional culture. It involves what we see or don’t see as “political.” There is no way to work through any of this diversity and social justice messiness with an anti-bullying workshop and a vague institutional philosophy of being “welcoming.” Principal Smith might be applying what he imagines to be an equity strategy, but it’s an equity strategy that, alone, is no threat to inequity. Equity literacy is the ability to make this distinction.</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This is why we decided to create a new process for examining equity-related education cases and crafting responses to the problems they pose, grounding that process in the equity literacy framework. The equity literacy framework is constructed to move us into the messiness. It forces us to simultaneously consider concerns as micro-level as our individual biases and ideologies and as macro-level as structural racism and heteronormativity. It challenges us to reflect upon how our instructional, leadership, or other decisions affect students and how life experiences outside school also affect them. As a result, it positions us to respond to classroom challenges involving matters of diversity and social justice in more nuanced, just, and transformative ways.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The four foundational abilities of equity literacy, which are incorporated into the case analysis process described below, are summarized in </w:t>
      </w:r>
      <w:hyperlink r:id="rId15" w:anchor="tab2.1" w:history="1">
        <w:r w:rsidRPr="00580520">
          <w:rPr>
            <w:rFonts w:ascii="ACaslonPro-Regular" w:eastAsia="Times New Roman" w:hAnsi="ACaslonPro-Regular" w:cs="Times New Roman"/>
            <w:color w:val="0000FF"/>
            <w:sz w:val="24"/>
            <w:szCs w:val="24"/>
            <w:u w:val="single"/>
          </w:rPr>
          <w:t>Table 2.1</w:t>
        </w:r>
      </w:hyperlink>
      <w:r w:rsidRPr="00580520">
        <w:rPr>
          <w:rFonts w:ascii="ACaslonPro-Regular" w:eastAsia="Times New Roman" w:hAnsi="ACaslonPro-Regular" w:cs="Times New Roman"/>
          <w:color w:val="000000"/>
          <w:sz w:val="24"/>
          <w:szCs w:val="24"/>
        </w:rPr>
        <w:t>. This book and the case analysis approach are designed to help readers cultivate these abilities in ourselves and in one another.</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p.12</w:t>
      </w:r>
    </w:p>
    <w:p w:rsidR="00580520" w:rsidRPr="00580520" w:rsidRDefault="00580520" w:rsidP="00580520">
      <w:pPr>
        <w:spacing w:before="100" w:beforeAutospacing="1" w:after="0" w:line="240" w:lineRule="auto"/>
        <w:ind w:left="1584" w:hanging="1584"/>
        <w:textAlignment w:val="center"/>
        <w:rPr>
          <w:rFonts w:ascii="TradeGothicLTStd-Cn18" w:eastAsia="Times New Roman" w:hAnsi="TradeGothicLTStd-Cn18" w:cs="Times New Roman"/>
          <w:color w:val="000000"/>
          <w:sz w:val="24"/>
          <w:szCs w:val="24"/>
        </w:rPr>
      </w:pPr>
      <w:r w:rsidRPr="00580520">
        <w:rPr>
          <w:rFonts w:ascii="TradeGothicLTStd-Bold" w:eastAsia="Times New Roman" w:hAnsi="TradeGothicLTStd-Bold" w:cs="Times New Roman"/>
          <w:color w:val="000000"/>
          <w:sz w:val="24"/>
          <w:szCs w:val="24"/>
        </w:rPr>
        <w:t xml:space="preserve">Table </w:t>
      </w:r>
      <w:proofErr w:type="gramStart"/>
      <w:r w:rsidRPr="00580520">
        <w:rPr>
          <w:rFonts w:ascii="TradeGothicLTStd-Bold" w:eastAsia="Times New Roman" w:hAnsi="TradeGothicLTStd-Bold" w:cs="Times New Roman"/>
          <w:color w:val="000000"/>
          <w:sz w:val="24"/>
          <w:szCs w:val="24"/>
        </w:rPr>
        <w:t>2.1</w:t>
      </w:r>
      <w:r w:rsidRPr="00580520">
        <w:rPr>
          <w:rFonts w:ascii="TradeGothicLTStd-Cn18" w:eastAsia="Times New Roman" w:hAnsi="TradeGothicLTStd-Cn18" w:cs="Times New Roman"/>
          <w:color w:val="000000"/>
          <w:sz w:val="24"/>
          <w:szCs w:val="24"/>
        </w:rPr>
        <w:t>  The</w:t>
      </w:r>
      <w:proofErr w:type="gramEnd"/>
      <w:r w:rsidRPr="00580520">
        <w:rPr>
          <w:rFonts w:ascii="TradeGothicLTStd-Cn18" w:eastAsia="Times New Roman" w:hAnsi="TradeGothicLTStd-Cn18" w:cs="Times New Roman"/>
          <w:color w:val="000000"/>
          <w:sz w:val="24"/>
          <w:szCs w:val="24"/>
        </w:rPr>
        <w:t xml:space="preserve"> four abilities of equity literacy</w:t>
      </w:r>
    </w:p>
    <w:p w:rsidR="00580520" w:rsidRPr="00580520" w:rsidRDefault="00580520" w:rsidP="00580520">
      <w:pPr>
        <w:spacing w:before="100" w:beforeAutospacing="1" w:after="100" w:afterAutospacing="1" w:line="240" w:lineRule="auto"/>
        <w:jc w:val="center"/>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noProof/>
          <w:color w:val="000000"/>
          <w:sz w:val="24"/>
          <w:szCs w:val="24"/>
        </w:rPr>
        <mc:AlternateContent>
          <mc:Choice Requires="wps">
            <w:drawing>
              <wp:inline distT="0" distB="0" distL="0" distR="0">
                <wp:extent cx="304800" cy="304800"/>
                <wp:effectExtent l="0" t="0" r="0" b="0"/>
                <wp:docPr id="2"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26DF29"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t6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vNot6uwIAAMU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580520" w:rsidRPr="00580520" w:rsidRDefault="00580520" w:rsidP="00580520">
      <w:pPr>
        <w:spacing w:line="240" w:lineRule="auto"/>
        <w:jc w:val="both"/>
        <w:rPr>
          <w:rFonts w:ascii="TradeGothicLTStd-Cn18" w:eastAsia="Times New Roman" w:hAnsi="TradeGothicLTStd-Cn18" w:cs="Times New Roman"/>
          <w:color w:val="000000"/>
        </w:rPr>
      </w:pPr>
      <w:r w:rsidRPr="00580520">
        <w:rPr>
          <w:rFonts w:ascii="TradeGothicLTStd-Obl" w:eastAsia="Times New Roman" w:hAnsi="TradeGothicLTStd-Obl" w:cs="Times New Roman"/>
          <w:color w:val="000000"/>
        </w:rPr>
        <w:t>Source:</w:t>
      </w:r>
      <w:r w:rsidRPr="00580520">
        <w:rPr>
          <w:rFonts w:ascii="TradeGothicLTStd-Cn18" w:eastAsia="Times New Roman" w:hAnsi="TradeGothicLTStd-Cn18" w:cs="Times New Roman"/>
          <w:color w:val="000000"/>
        </w:rPr>
        <w:t> Adapted from Paul Gorski’s </w:t>
      </w:r>
      <w:r w:rsidRPr="00580520">
        <w:rPr>
          <w:rFonts w:ascii="TradeGothicLTStd-Cn18Obl" w:eastAsia="Times New Roman" w:hAnsi="TradeGothicLTStd-Cn18Obl" w:cs="Times New Roman"/>
          <w:color w:val="000000"/>
        </w:rPr>
        <w:t xml:space="preserve">Reaching and Teaching Students in Poverty: Strategies for Erasing the Opportunity </w:t>
      </w:r>
      <w:proofErr w:type="gramStart"/>
      <w:r w:rsidRPr="00580520">
        <w:rPr>
          <w:rFonts w:ascii="TradeGothicLTStd-Cn18Obl" w:eastAsia="Times New Roman" w:hAnsi="TradeGothicLTStd-Cn18Obl" w:cs="Times New Roman"/>
          <w:color w:val="000000"/>
        </w:rPr>
        <w:t>Gap</w:t>
      </w:r>
      <w:r w:rsidRPr="00580520">
        <w:rPr>
          <w:rFonts w:ascii="TradeGothicLTStd-Cn18" w:eastAsia="Times New Roman" w:hAnsi="TradeGothicLTStd-Cn18" w:cs="Times New Roman"/>
          <w:color w:val="000000"/>
        </w:rPr>
        <w:t>(</w:t>
      </w:r>
      <w:proofErr w:type="gramEnd"/>
      <w:r w:rsidRPr="00580520">
        <w:rPr>
          <w:rFonts w:ascii="TradeGothicLTStd-Cn18" w:eastAsia="Times New Roman" w:hAnsi="TradeGothicLTStd-Cn18" w:cs="Times New Roman"/>
          <w:color w:val="000000"/>
        </w:rPr>
        <w:t>forthcoming in 2018)</w:t>
      </w:r>
    </w:p>
    <w:p w:rsidR="00580520" w:rsidRPr="00580520" w:rsidRDefault="00580520" w:rsidP="00580520">
      <w:pPr>
        <w:spacing w:before="360" w:after="0" w:line="240" w:lineRule="auto"/>
        <w:rPr>
          <w:rFonts w:ascii="ACaslonPro-Semibold" w:eastAsia="Times New Roman" w:hAnsi="ACaslonPro-Semibold" w:cs="Times New Roman"/>
          <w:color w:val="000000"/>
          <w:sz w:val="31"/>
          <w:szCs w:val="31"/>
        </w:rPr>
      </w:pPr>
      <w:hyperlink r:id="rId16" w:anchor="rs1-2a" w:history="1">
        <w:r w:rsidRPr="00580520">
          <w:rPr>
            <w:rFonts w:ascii="ACaslonPro-Semibold" w:eastAsia="Times New Roman" w:hAnsi="ACaslonPro-Semibold" w:cs="Times New Roman"/>
            <w:color w:val="0000FF"/>
            <w:sz w:val="31"/>
            <w:szCs w:val="31"/>
            <w:u w:val="single"/>
          </w:rPr>
          <w:t>Case Analysis: An Equity Literacy Process</w:t>
        </w:r>
      </w:hyperlink>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Our process for analyzing educational cases, assembled to strengthen in educators the four abilities of equity literacy, is comprised of seven steps, summarized in </w:t>
      </w:r>
      <w:hyperlink r:id="rId17" w:anchor="fig2.1" w:history="1">
        <w:r w:rsidRPr="00580520">
          <w:rPr>
            <w:rFonts w:ascii="ACaslonPro-Regular" w:eastAsia="Times New Roman" w:hAnsi="ACaslonPro-Regular" w:cs="Times New Roman"/>
            <w:color w:val="0000FF"/>
            <w:sz w:val="24"/>
            <w:szCs w:val="24"/>
            <w:u w:val="single"/>
          </w:rPr>
          <w:t>Figure 2.1</w:t>
        </w:r>
      </w:hyperlink>
      <w:r w:rsidRPr="00580520">
        <w:rPr>
          <w:rFonts w:ascii="ACaslonPro-Regular" w:eastAsia="Times New Roman" w:hAnsi="ACaslonPro-Regular" w:cs="Times New Roman"/>
          <w:color w:val="000000"/>
          <w:sz w:val="24"/>
          <w:szCs w:val="24"/>
        </w:rPr>
        <w:t xml:space="preserve">. The steps are accumulative, designed to prepare us to develop informed, mindful responses to multilayered classroom and school scenarios. They move us through a process of peeling away layers of the </w:t>
      </w:r>
      <w:r w:rsidRPr="00580520">
        <w:rPr>
          <w:rFonts w:ascii="ACaslonPro-Regular" w:eastAsia="Times New Roman" w:hAnsi="ACaslonPro-Regular" w:cs="Times New Roman"/>
          <w:color w:val="000000"/>
          <w:sz w:val="24"/>
          <w:szCs w:val="24"/>
        </w:rPr>
        <w:lastRenderedPageBreak/>
        <w:t>proverbial onion, never settling for quick, simple responses that rely too heavily on our predispositions or presuppositions.</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p.13</w:t>
      </w:r>
    </w:p>
    <w:p w:rsidR="00580520" w:rsidRPr="00580520" w:rsidRDefault="00580520" w:rsidP="00580520">
      <w:pPr>
        <w:spacing w:before="100" w:beforeAutospacing="1" w:after="100" w:afterAutospacing="1" w:line="240" w:lineRule="auto"/>
        <w:jc w:val="center"/>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noProof/>
          <w:color w:val="000000"/>
          <w:sz w:val="24"/>
          <w:szCs w:val="24"/>
        </w:rPr>
        <mc:AlternateContent>
          <mc:Choice Requires="wps">
            <w:drawing>
              <wp:inline distT="0" distB="0" distL="0" distR="0">
                <wp:extent cx="304800" cy="304800"/>
                <wp:effectExtent l="0" t="0" r="0" b="0"/>
                <wp:docPr id="1" name="Rectangl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EE989D" id="Rectangl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aDzuQ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G9Wg87kCAADFBQAA&#10;DgAAAAAAAAAAAAAAAAAuAgAAZHJzL2Uyb0RvYy54bWxQSwECLQAUAAYACAAAACEATKDpLNgAAAAD&#10;AQAADwAAAAAAAAAAAAAAAAATBQAAZHJzL2Rvd25yZXYueG1sUEsFBgAAAAAEAAQA8wAAABgGAAAA&#10;AA==&#10;" filled="f" stroked="f">
                <o:lock v:ext="edit" aspectratio="t"/>
                <w10:anchorlock/>
              </v:rect>
            </w:pict>
          </mc:Fallback>
        </mc:AlternateContent>
      </w:r>
    </w:p>
    <w:p w:rsidR="00580520" w:rsidRPr="00580520" w:rsidRDefault="00580520" w:rsidP="00580520">
      <w:pPr>
        <w:spacing w:before="100" w:beforeAutospacing="1" w:line="240" w:lineRule="auto"/>
        <w:ind w:left="1680" w:hanging="1680"/>
        <w:textAlignment w:val="center"/>
        <w:rPr>
          <w:rFonts w:ascii="TradeGothicLTStd-Cn18" w:eastAsia="Times New Roman" w:hAnsi="TradeGothicLTStd-Cn18" w:cs="Times New Roman"/>
          <w:color w:val="000000"/>
          <w:sz w:val="24"/>
          <w:szCs w:val="24"/>
        </w:rPr>
      </w:pPr>
      <w:r w:rsidRPr="00580520">
        <w:rPr>
          <w:rFonts w:ascii="TradeGothicLTStd-Bold" w:eastAsia="Times New Roman" w:hAnsi="TradeGothicLTStd-Bold" w:cs="Times New Roman"/>
          <w:color w:val="000000"/>
          <w:sz w:val="24"/>
          <w:szCs w:val="24"/>
        </w:rPr>
        <w:t xml:space="preserve">Figure </w:t>
      </w:r>
      <w:proofErr w:type="gramStart"/>
      <w:r w:rsidRPr="00580520">
        <w:rPr>
          <w:rFonts w:ascii="TradeGothicLTStd-Bold" w:eastAsia="Times New Roman" w:hAnsi="TradeGothicLTStd-Bold" w:cs="Times New Roman"/>
          <w:color w:val="000000"/>
          <w:sz w:val="24"/>
          <w:szCs w:val="24"/>
        </w:rPr>
        <w:t>2.1</w:t>
      </w:r>
      <w:r w:rsidRPr="00580520">
        <w:rPr>
          <w:rFonts w:ascii="TradeGothicLTStd-Cn18" w:eastAsia="Times New Roman" w:hAnsi="TradeGothicLTStd-Cn18" w:cs="Times New Roman"/>
          <w:color w:val="000000"/>
          <w:sz w:val="24"/>
          <w:szCs w:val="24"/>
        </w:rPr>
        <w:t>  Seven</w:t>
      </w:r>
      <w:proofErr w:type="gramEnd"/>
      <w:r w:rsidRPr="00580520">
        <w:rPr>
          <w:rFonts w:ascii="TradeGothicLTStd-Cn18" w:eastAsia="Times New Roman" w:hAnsi="TradeGothicLTStd-Cn18" w:cs="Times New Roman"/>
          <w:color w:val="000000"/>
          <w:sz w:val="24"/>
          <w:szCs w:val="24"/>
        </w:rPr>
        <w:t xml:space="preserve"> steps in the equity literacy case analysis approach</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In what follows we describe each of the seven steps of the equity literacy case analysis process. Hoping to demonstrate the process in action, we apply the steps to the scenario at South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Middle School described in </w:t>
      </w:r>
      <w:hyperlink r:id="rId18" w:history="1">
        <w:r w:rsidRPr="00580520">
          <w:rPr>
            <w:rFonts w:ascii="ACaslonPro-Regular" w:eastAsia="Times New Roman" w:hAnsi="ACaslonPro-Regular" w:cs="Times New Roman"/>
            <w:color w:val="0000FF"/>
            <w:sz w:val="24"/>
            <w:szCs w:val="24"/>
            <w:u w:val="single"/>
          </w:rPr>
          <w:t>Chapter 1</w:t>
        </w:r>
      </w:hyperlink>
      <w:r w:rsidRPr="00580520">
        <w:rPr>
          <w:rFonts w:ascii="ACaslonPro-Regular" w:eastAsia="Times New Roman" w:hAnsi="ACaslonPro-Regular" w:cs="Times New Roman"/>
          <w:color w:val="000000"/>
          <w:sz w:val="24"/>
          <w:szCs w:val="24"/>
        </w:rPr>
        <w:t>. (An abbreviated, printable version of the process can be found in </w:t>
      </w:r>
      <w:hyperlink r:id="rId19" w:history="1">
        <w:r w:rsidRPr="00580520">
          <w:rPr>
            <w:rFonts w:ascii="ACaslonPro-Regular" w:eastAsia="Times New Roman" w:hAnsi="ACaslonPro-Regular" w:cs="Times New Roman"/>
            <w:color w:val="0000FF"/>
            <w:sz w:val="24"/>
            <w:szCs w:val="24"/>
            <w:u w:val="single"/>
          </w:rPr>
          <w:t>Appendix A</w:t>
        </w:r>
      </w:hyperlink>
      <w:r w:rsidRPr="00580520">
        <w:rPr>
          <w:rFonts w:ascii="ACaslonPro-Regular" w:eastAsia="Times New Roman" w:hAnsi="ACaslonPro-Regular" w:cs="Times New Roman"/>
          <w:color w:val="000000"/>
          <w:sz w:val="24"/>
          <w:szCs w:val="24"/>
        </w:rPr>
        <w:t>.)</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As you will see, the case analysis process is not designed to guide you toward a </w:t>
      </w:r>
      <w:r w:rsidRPr="00580520">
        <w:rPr>
          <w:rFonts w:ascii="ACaslonPro-Italic" w:eastAsia="Times New Roman" w:hAnsi="ACaslonPro-Italic" w:cs="Times New Roman"/>
          <w:color w:val="000000"/>
          <w:sz w:val="24"/>
          <w:szCs w:val="24"/>
        </w:rPr>
        <w:t>correct</w:t>
      </w:r>
      <w:r w:rsidRPr="00580520">
        <w:rPr>
          <w:rFonts w:ascii="ACaslonPro-Regular" w:eastAsia="Times New Roman" w:hAnsi="ACaslonPro-Regular" w:cs="Times New Roman"/>
          <w:color w:val="000000"/>
          <w:sz w:val="24"/>
          <w:szCs w:val="24"/>
        </w:rPr>
        <w:t xml:space="preserve"> set of strategies for responding to and redressing the conditions at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or described in the other cases. Hand this process and any of these cases to ten teachers or school administrators and chances are they will produce ten different action plans. Instead, we designed the process to help you practice using your unique insights, your knowledge about students and their families, and your expertise with school and classroom dynamics in order to respond, as effectively and equitably as possible, to the types of biases and inequities that inevitably crop up in schools. But we also designed it to infuse your insights, knowledge, and expertise with equity literacy. It is more an art than a science; more a willingness to dig, and dig, and dig deeply than an ability to calculate quickly.</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p.14</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This also is why, humbled by our own limitations, we encourage you to analyze the cases in groups whenever possible. Almost as important as reflecting upon our unique individual analyses of each case is reflecting upon why people with different combinations of identities and life experiences might interpret the cases differently.</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1: Identify Biases or Inequities Posed by the Case</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Many biases and inequities students face in school are implicit and unintentional, hidden in day-to-day practices, school traditions, and quiet interactions. It can be especially difficult to recognize the sorts of challenges students or families face when we have never faced those challenges ourselves. If you have never been the target of racism and xenophobia or watched a public figure encourage prejudice against people in your family or community, it might be difficult to understand Ms. </w:t>
      </w:r>
      <w:proofErr w:type="spellStart"/>
      <w:r w:rsidRPr="00580520">
        <w:rPr>
          <w:rFonts w:ascii="ACaslonPro-Regular" w:eastAsia="Times New Roman" w:hAnsi="ACaslonPro-Regular" w:cs="Times New Roman"/>
          <w:color w:val="000000"/>
          <w:sz w:val="24"/>
          <w:szCs w:val="24"/>
        </w:rPr>
        <w:t>Samaya’s</w:t>
      </w:r>
      <w:proofErr w:type="spellEnd"/>
      <w:r w:rsidRPr="00580520">
        <w:rPr>
          <w:rFonts w:ascii="ACaslonPro-Regular" w:eastAsia="Times New Roman" w:hAnsi="ACaslonPro-Regular" w:cs="Times New Roman"/>
          <w:color w:val="000000"/>
          <w:sz w:val="24"/>
          <w:szCs w:val="24"/>
        </w:rPr>
        <w:t xml:space="preserve"> sense of urgency for the school to respond explicitly to the aftermath of the election. So we urge you during Step 1 to read between the lines. Practice </w:t>
      </w:r>
      <w:r w:rsidRPr="00580520">
        <w:rPr>
          <w:rFonts w:ascii="ACaslonPro-Italic" w:eastAsia="Times New Roman" w:hAnsi="ACaslonPro-Italic" w:cs="Times New Roman"/>
          <w:color w:val="000000"/>
          <w:sz w:val="24"/>
          <w:szCs w:val="24"/>
        </w:rPr>
        <w:t>recognizing</w:t>
      </w:r>
      <w:r w:rsidRPr="00580520">
        <w:rPr>
          <w:rFonts w:ascii="ACaslonPro-Regular" w:eastAsia="Times New Roman" w:hAnsi="ACaslonPro-Regular" w:cs="Times New Roman"/>
          <w:color w:val="000000"/>
          <w:sz w:val="24"/>
          <w:szCs w:val="24"/>
        </w:rPr>
        <w:t> conditions and contexts you might not usually recognize or seeing what you might be conditioned not to see.</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Begin by naming biases, inequities, or otherwise troublesome conditions that are immediately apparent to you. For some readers, perhaps it is apparent and troublesome that at least one teacher, </w:t>
      </w:r>
      <w:r w:rsidRPr="00580520">
        <w:rPr>
          <w:rFonts w:ascii="ACaslonPro-Regular" w:eastAsia="Times New Roman" w:hAnsi="ACaslonPro-Regular" w:cs="Times New Roman"/>
          <w:color w:val="000000"/>
          <w:sz w:val="24"/>
          <w:szCs w:val="24"/>
        </w:rPr>
        <w:lastRenderedPageBreak/>
        <w:t>Ms. Allister, is minimizing biased or prejudiced views as “free speech” without considering that, free as it might be, prejudiced language and ideas still have an impact on her students. She also appears resentful of the growing population of Somali and Central American immigrants at the school. Is it possible her resentment is affecting her engagement with these students and their families? Can she feel this resentment and also demonstrate high expectations for them? What are the chances several other teachers feel the same as Ms. Allister but aren’t saying so?</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p.15</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Once you have a grasp of the more surface-level dynamics, dig deeper. Look for less explicit, not-so-obvious examples of existing or potential bias, inequity, stereotypes, or presumptions. What does the case tell us about school or classroom policy, about instructional or leadership practices, about individuals’ attitudes and perspectives that might hint at something deeper than surface-level biases and inequities? Consider, for example, what some readers might interpret as Principal Smith’s dismissive tone regarding Ms. </w:t>
      </w:r>
      <w:proofErr w:type="spellStart"/>
      <w:r w:rsidRPr="00580520">
        <w:rPr>
          <w:rFonts w:ascii="ACaslonPro-Regular" w:eastAsia="Times New Roman" w:hAnsi="ACaslonPro-Regular" w:cs="Times New Roman"/>
          <w:color w:val="000000"/>
          <w:sz w:val="24"/>
          <w:szCs w:val="24"/>
        </w:rPr>
        <w:t>Samaya’s</w:t>
      </w:r>
      <w:proofErr w:type="spellEnd"/>
      <w:r w:rsidRPr="00580520">
        <w:rPr>
          <w:rFonts w:ascii="ACaslonPro-Regular" w:eastAsia="Times New Roman" w:hAnsi="ACaslonPro-Regular" w:cs="Times New Roman"/>
          <w:color w:val="000000"/>
          <w:sz w:val="24"/>
          <w:szCs w:val="24"/>
        </w:rPr>
        <w:t xml:space="preserve"> concerns, or his failure to address the issue without Ms. </w:t>
      </w:r>
      <w:proofErr w:type="spellStart"/>
      <w:r w:rsidRPr="00580520">
        <w:rPr>
          <w:rFonts w:ascii="ACaslonPro-Regular" w:eastAsia="Times New Roman" w:hAnsi="ACaslonPro-Regular" w:cs="Times New Roman"/>
          <w:color w:val="000000"/>
          <w:sz w:val="24"/>
          <w:szCs w:val="24"/>
        </w:rPr>
        <w:t>Samaya’s</w:t>
      </w:r>
      <w:proofErr w:type="spellEnd"/>
      <w:r w:rsidRPr="00580520">
        <w:rPr>
          <w:rFonts w:ascii="ACaslonPro-Regular" w:eastAsia="Times New Roman" w:hAnsi="ACaslonPro-Regular" w:cs="Times New Roman"/>
          <w:color w:val="000000"/>
          <w:sz w:val="24"/>
          <w:szCs w:val="24"/>
        </w:rPr>
        <w:t xml:space="preserve"> prompting. We might also scrutinize his decision to respond to a string of bias incidents only with anti-bullying training when the incidents reflect not just the acts of isolated bullies, but growing sentiments in the community.</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Remember, there are no right or wrong answers here—no single “problem” that everybody should identify. Different people will identify different problems, and that’s fine. In fact, it’s an opportunity for us to learn from one another what we tend to see and what we might tend to miss.</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2: Take Stock of Varying Perspectives</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Our case has at least a couple of obvious stakeholders who might have different perspectives on what is happening. Most obvious, perhaps, are the people directly involved in the exchange: Ms. </w:t>
      </w:r>
      <w:proofErr w:type="spellStart"/>
      <w:r w:rsidRPr="00580520">
        <w:rPr>
          <w:rFonts w:ascii="ACaslonPro-Regular" w:eastAsia="Times New Roman" w:hAnsi="ACaslonPro-Regular" w:cs="Times New Roman"/>
          <w:color w:val="000000"/>
          <w:sz w:val="24"/>
          <w:szCs w:val="24"/>
        </w:rPr>
        <w:t>Samaya</w:t>
      </w:r>
      <w:proofErr w:type="spellEnd"/>
      <w:r w:rsidRPr="00580520">
        <w:rPr>
          <w:rFonts w:ascii="ACaslonPro-Regular" w:eastAsia="Times New Roman" w:hAnsi="ACaslonPro-Regular" w:cs="Times New Roman"/>
          <w:color w:val="000000"/>
          <w:sz w:val="24"/>
          <w:szCs w:val="24"/>
        </w:rPr>
        <w:t xml:space="preserve">, Ms. Allister, and Principal Smith. In the most immediate term, we might note that our colleague, Ms. </w:t>
      </w:r>
      <w:proofErr w:type="spellStart"/>
      <w:r w:rsidRPr="00580520">
        <w:rPr>
          <w:rFonts w:ascii="ACaslonPro-Regular" w:eastAsia="Times New Roman" w:hAnsi="ACaslonPro-Regular" w:cs="Times New Roman"/>
          <w:color w:val="000000"/>
          <w:sz w:val="24"/>
          <w:szCs w:val="24"/>
        </w:rPr>
        <w:t>Samaya</w:t>
      </w:r>
      <w:proofErr w:type="spellEnd"/>
      <w:r w:rsidRPr="00580520">
        <w:rPr>
          <w:rFonts w:ascii="ACaslonPro-Regular" w:eastAsia="Times New Roman" w:hAnsi="ACaslonPro-Regular" w:cs="Times New Roman"/>
          <w:color w:val="000000"/>
          <w:sz w:val="24"/>
          <w:szCs w:val="24"/>
        </w:rPr>
        <w:t>, has probably been hurt by both the principal’s inaction and Ms. Allister’s comments. We might try to put ourselves in her shoes and consider how she could be experiencing the interaction.</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But we shouldn’t stop there. Ms. </w:t>
      </w:r>
      <w:proofErr w:type="spellStart"/>
      <w:r w:rsidRPr="00580520">
        <w:rPr>
          <w:rFonts w:ascii="ACaslonPro-Regular" w:eastAsia="Times New Roman" w:hAnsi="ACaslonPro-Regular" w:cs="Times New Roman"/>
          <w:color w:val="000000"/>
          <w:sz w:val="24"/>
          <w:szCs w:val="24"/>
        </w:rPr>
        <w:t>Samaya</w:t>
      </w:r>
      <w:proofErr w:type="spellEnd"/>
      <w:r w:rsidRPr="00580520">
        <w:rPr>
          <w:rFonts w:ascii="ACaslonPro-Regular" w:eastAsia="Times New Roman" w:hAnsi="ACaslonPro-Regular" w:cs="Times New Roman"/>
          <w:color w:val="000000"/>
          <w:sz w:val="24"/>
          <w:szCs w:val="24"/>
        </w:rPr>
        <w:t xml:space="preserve"> might be the only person who spoke up, but that doesn’t necessarily mean she’s the only person present at the meeting who could be concerned about the principal’s silence or Ms. Allister’s comments. In every case we should consider, not only the people immediately involved, but also those within earshot and eyeshot. Even those present who were not offended by Ms. Allister’s comments or who agreed with Ms. Allister’s assessment of the situation have a stake in the outcome. What happens next will send a message to </w:t>
      </w:r>
      <w:r w:rsidRPr="00580520">
        <w:rPr>
          <w:rFonts w:ascii="ACaslonPro-Italic" w:eastAsia="Times New Roman" w:hAnsi="ACaslonPro-Italic" w:cs="Times New Roman"/>
          <w:color w:val="000000"/>
          <w:sz w:val="24"/>
          <w:szCs w:val="24"/>
        </w:rPr>
        <w:t>everybody</w:t>
      </w:r>
      <w:r w:rsidRPr="00580520">
        <w:rPr>
          <w:rFonts w:ascii="ACaslonPro-Regular" w:eastAsia="Times New Roman" w:hAnsi="ACaslonPro-Regular" w:cs="Times New Roman"/>
          <w:color w:val="000000"/>
          <w:sz w:val="24"/>
          <w:szCs w:val="24"/>
        </w:rPr>
        <w:t> in the room about what Principal Smith values. Even if his next move simply confirms some people’s existing ideas instead of challenging them, that’s significant enough to note.</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p.16</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Complicating matters, despite being at the center of the scenario, the people attending the meeting are not the only people with a stake in the outcome. The Somali and Central American </w:t>
      </w:r>
      <w:r w:rsidRPr="00580520">
        <w:rPr>
          <w:rFonts w:ascii="ACaslonPro-Regular" w:eastAsia="Times New Roman" w:hAnsi="ACaslonPro-Regular" w:cs="Times New Roman"/>
          <w:color w:val="000000"/>
          <w:sz w:val="24"/>
          <w:szCs w:val="24"/>
        </w:rPr>
        <w:lastRenderedPageBreak/>
        <w:t>students and their families have perspectives. Is the school going to reproduce the conditions they experience in the community or challenge those conditions? The school’s decision whether to respond explicitly or not will affect the entire community. Moreover, even if Principal Smith eventually chooses against institutional silence and supports a public statement, students carry what they experience outside school into schools and classrooms. As educators who value equity and justice, we have to be responsive to what students carry into school with them even if we do not have the power to eliminate every structural barrier they experience outside schools.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Again, dig deeply. The idea is to challenge our own thinking. For example, this is an important consideration: although the principal believes making a public statement will throw the school into the political fray, it’s also true that deciding not to respond is </w:t>
      </w:r>
      <w:r w:rsidRPr="00580520">
        <w:rPr>
          <w:rFonts w:ascii="ACaslonPro-Italic" w:eastAsia="Times New Roman" w:hAnsi="ACaslonPro-Italic" w:cs="Times New Roman"/>
          <w:color w:val="000000"/>
          <w:sz w:val="24"/>
          <w:szCs w:val="24"/>
        </w:rPr>
        <w:t>just as political</w:t>
      </w:r>
      <w:r w:rsidRPr="00580520">
        <w:rPr>
          <w:rFonts w:ascii="ACaslonPro-Regular" w:eastAsia="Times New Roman" w:hAnsi="ACaslonPro-Regular" w:cs="Times New Roman"/>
          <w:color w:val="000000"/>
          <w:sz w:val="24"/>
          <w:szCs w:val="24"/>
        </w:rPr>
        <w:t> an act as responding. Silence has as much impact as outspokenness. Who would be impacted most by the silence?</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We encourage you to seek balance between focusing only on the most obvious stakeholders and broadening your focus so much that the discussion becomes unwieldy. Start with the immediate participants and then, at the very least, the ring of constituents around them. Focus both on marginalized communities and privileged communities.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We realize this step requires speculating. There is no real way for us to know what somebody else’s perspective is. We can, however, challenge ourselves to try to see the incident through a variety of lenses.</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3: Consider Possible Challenges and Opportunities</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Given the varied perspectives explored in Step 2, our next task is to identify potential challenges and opportunities presented by the situation. Start with the individuals involved. Ms. </w:t>
      </w:r>
      <w:proofErr w:type="spellStart"/>
      <w:r w:rsidRPr="00580520">
        <w:rPr>
          <w:rFonts w:ascii="ACaslonPro-Regular" w:eastAsia="Times New Roman" w:hAnsi="ACaslonPro-Regular" w:cs="Times New Roman"/>
          <w:color w:val="000000"/>
          <w:sz w:val="24"/>
          <w:szCs w:val="24"/>
        </w:rPr>
        <w:t>Samaya</w:t>
      </w:r>
      <w:proofErr w:type="spellEnd"/>
      <w:r w:rsidRPr="00580520">
        <w:rPr>
          <w:rFonts w:ascii="ACaslonPro-Regular" w:eastAsia="Times New Roman" w:hAnsi="ACaslonPro-Regular" w:cs="Times New Roman"/>
          <w:color w:val="000000"/>
          <w:sz w:val="24"/>
          <w:szCs w:val="24"/>
        </w:rPr>
        <w:t xml:space="preserve"> has already identified an opportunity.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can choose to make a positive, equity-informed statement letting families who might be experiencing bias know they are welcome at the school. There’s a more general opportunity for every educator at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to learn more about the challenges and barriers with which their students contend, to learn about how forms of racism and xenophobia that exist outside school often are replicated inside school. These are lessons they can apply to other students who might experience bias and inequity, such as low-income students or lesbian, gay, or bisexual students, or transgender students. Certainly in the immediate term an opportunity has arisen to help Ms. Allister develop more equitable beliefs about a significant proportion of her students.</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p.17</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Of course, the scenario also presents several challenges we need to consider as we work toward solutions. Ms. Allister’s views present a significant challenge, along with the probability that she is not alone in her biased beliefs. Another challenge might revolve around finding ways to respond constructively to student bias and bigotry when that bias and bigotry likely have been taught at home. Principal Smith’s apparent aversion to controversy and resulting willingness to prioritize the comfort of families who voted for Mayor Barton over the comfort and safety of students whose families are the targets of bias and injustice, also presents a challenge because he has the most power at the school.</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lastRenderedPageBreak/>
        <w:t>Moving further into the messiness, even if Principal Smith is missing the equity mark in this regard, his concern over the politics of the situation can be insightful. Certainly we must consider how supporters of Mayor Barton might react if the school responds more boldly than offering anti-bullying professional development. The school </w:t>
      </w:r>
      <w:r w:rsidRPr="00580520">
        <w:rPr>
          <w:rFonts w:ascii="ACaslonPro-Italic" w:eastAsia="Times New Roman" w:hAnsi="ACaslonPro-Italic" w:cs="Times New Roman"/>
          <w:color w:val="000000"/>
          <w:sz w:val="24"/>
          <w:szCs w:val="24"/>
        </w:rPr>
        <w:t>should</w:t>
      </w:r>
      <w:r w:rsidRPr="00580520">
        <w:rPr>
          <w:rFonts w:ascii="ACaslonPro-Regular" w:eastAsia="Times New Roman" w:hAnsi="ACaslonPro-Regular" w:cs="Times New Roman"/>
          <w:color w:val="000000"/>
          <w:sz w:val="24"/>
          <w:szCs w:val="24"/>
        </w:rPr>
        <w:t> do something more and </w:t>
      </w:r>
      <w:r w:rsidRPr="00580520">
        <w:rPr>
          <w:rFonts w:ascii="ACaslonPro-Italic" w:eastAsia="Times New Roman" w:hAnsi="ACaslonPro-Italic" w:cs="Times New Roman"/>
          <w:color w:val="000000"/>
          <w:sz w:val="24"/>
          <w:szCs w:val="24"/>
        </w:rPr>
        <w:t>should</w:t>
      </w:r>
      <w:r w:rsidRPr="00580520">
        <w:rPr>
          <w:rFonts w:ascii="ACaslonPro-Regular" w:eastAsia="Times New Roman" w:hAnsi="ACaslonPro-Regular" w:cs="Times New Roman"/>
          <w:color w:val="000000"/>
          <w:sz w:val="24"/>
          <w:szCs w:val="24"/>
        </w:rPr>
        <w:t> prepare itself for possible fallout. We will need to consider that preparation in Steps 5, 6, and 7.</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Remember to use your analysis from Steps 1 and 2 to inform your assessment of challenges and opportunities. In later steps the goal will be to </w:t>
      </w:r>
      <w:r w:rsidRPr="00580520">
        <w:rPr>
          <w:rFonts w:ascii="ACaslonPro-Italic" w:eastAsia="Times New Roman" w:hAnsi="ACaslonPro-Italic" w:cs="Times New Roman"/>
          <w:color w:val="000000"/>
          <w:sz w:val="24"/>
          <w:szCs w:val="24"/>
        </w:rPr>
        <w:t>respond to</w:t>
      </w:r>
      <w:r w:rsidRPr="00580520">
        <w:rPr>
          <w:rFonts w:ascii="ACaslonPro-Regular" w:eastAsia="Times New Roman" w:hAnsi="ACaslonPro-Regular" w:cs="Times New Roman"/>
          <w:color w:val="000000"/>
          <w:sz w:val="24"/>
          <w:szCs w:val="24"/>
        </w:rPr>
        <w:t> and </w:t>
      </w:r>
      <w:r w:rsidRPr="00580520">
        <w:rPr>
          <w:rFonts w:ascii="ACaslonPro-Italic" w:eastAsia="Times New Roman" w:hAnsi="ACaslonPro-Italic" w:cs="Times New Roman"/>
          <w:color w:val="000000"/>
          <w:sz w:val="24"/>
          <w:szCs w:val="24"/>
        </w:rPr>
        <w:t>redress</w:t>
      </w:r>
      <w:r w:rsidRPr="00580520">
        <w:rPr>
          <w:rFonts w:ascii="ACaslonPro-Regular" w:eastAsia="Times New Roman" w:hAnsi="ACaslonPro-Regular" w:cs="Times New Roman"/>
          <w:color w:val="000000"/>
          <w:sz w:val="24"/>
          <w:szCs w:val="24"/>
        </w:rPr>
        <w:t> the equity problems posed by cases while also taking optimal advantage of the opportunities the cases present for individual and institutional growth.</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4: Imagine Equitable Outcomes</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Building on the contextual understandings we have gained by taking stock of stakeholders’ perspectives and considering possible challenges and opportunities, we begin imagining positive and equitable outcomes. This is a critical step, as Steps 5 through 7 are designed to filter all the thinking and analyzing we have done so far into solutions meant to reach the outcomes we imagine in Step 4.</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p.18</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A few guiding principles can be helpful as we imagine what we hope to achieve by resolving the cases in this book. First, it’s important to distinguish </w:t>
      </w:r>
      <w:r w:rsidRPr="00580520">
        <w:rPr>
          <w:rFonts w:ascii="ACaslonPro-Italic" w:eastAsia="Times New Roman" w:hAnsi="ACaslonPro-Italic" w:cs="Times New Roman"/>
          <w:color w:val="000000"/>
          <w:sz w:val="24"/>
          <w:szCs w:val="24"/>
        </w:rPr>
        <w:t>equitable</w:t>
      </w:r>
      <w:r w:rsidRPr="00580520">
        <w:rPr>
          <w:rFonts w:ascii="ACaslonPro-Regular" w:eastAsia="Times New Roman" w:hAnsi="ACaslonPro-Regular" w:cs="Times New Roman"/>
          <w:color w:val="000000"/>
          <w:sz w:val="24"/>
          <w:szCs w:val="24"/>
        </w:rPr>
        <w:t> outcomes from </w:t>
      </w:r>
      <w:r w:rsidRPr="00580520">
        <w:rPr>
          <w:rFonts w:ascii="ACaslonPro-Italic" w:eastAsia="Times New Roman" w:hAnsi="ACaslonPro-Italic" w:cs="Times New Roman"/>
          <w:color w:val="000000"/>
          <w:sz w:val="24"/>
          <w:szCs w:val="24"/>
        </w:rPr>
        <w:t>equal</w:t>
      </w:r>
      <w:r w:rsidRPr="00580520">
        <w:rPr>
          <w:rFonts w:ascii="ACaslonPro-Regular" w:eastAsia="Times New Roman" w:hAnsi="ACaslonPro-Regular" w:cs="Times New Roman"/>
          <w:color w:val="000000"/>
          <w:sz w:val="24"/>
          <w:szCs w:val="24"/>
        </w:rPr>
        <w:t> outcomes. As we see it, equality connotes </w:t>
      </w:r>
      <w:r w:rsidRPr="00580520">
        <w:rPr>
          <w:rFonts w:ascii="ACaslonPro-Italic" w:eastAsia="Times New Roman" w:hAnsi="ACaslonPro-Italic" w:cs="Times New Roman"/>
          <w:color w:val="000000"/>
          <w:sz w:val="24"/>
          <w:szCs w:val="24"/>
        </w:rPr>
        <w:t>sameness</w:t>
      </w:r>
      <w:r w:rsidRPr="00580520">
        <w:rPr>
          <w:rFonts w:ascii="ACaslonPro-Regular" w:eastAsia="Times New Roman" w:hAnsi="ACaslonPro-Regular" w:cs="Times New Roman"/>
          <w:color w:val="000000"/>
          <w:sz w:val="24"/>
          <w:szCs w:val="24"/>
        </w:rPr>
        <w:t>. Equity, on the other hand, connotes </w:t>
      </w:r>
      <w:r w:rsidRPr="00580520">
        <w:rPr>
          <w:rFonts w:ascii="ACaslonPro-Italic" w:eastAsia="Times New Roman" w:hAnsi="ACaslonPro-Italic" w:cs="Times New Roman"/>
          <w:color w:val="000000"/>
          <w:sz w:val="24"/>
          <w:szCs w:val="24"/>
        </w:rPr>
        <w:t>fairness</w:t>
      </w:r>
      <w:r w:rsidRPr="00580520">
        <w:rPr>
          <w:rFonts w:ascii="ACaslonPro-Regular" w:eastAsia="Times New Roman" w:hAnsi="ACaslonPro-Regular" w:cs="Times New Roman"/>
          <w:color w:val="000000"/>
          <w:sz w:val="24"/>
          <w:szCs w:val="24"/>
        </w:rPr>
        <w:t>, a redistribution of access and opportunity, including access to a bias-free, supportive, actively anti-racist, anti-sexist, anti-heterosexist, anti-transphobic, anti-</w:t>
      </w:r>
      <w:proofErr w:type="spellStart"/>
      <w:r w:rsidRPr="00580520">
        <w:rPr>
          <w:rFonts w:ascii="ACaslonPro-Regular" w:eastAsia="Times New Roman" w:hAnsi="ACaslonPro-Regular" w:cs="Times New Roman"/>
          <w:color w:val="000000"/>
          <w:sz w:val="24"/>
          <w:szCs w:val="24"/>
        </w:rPr>
        <w:t>ableist</w:t>
      </w:r>
      <w:proofErr w:type="spellEnd"/>
      <w:r w:rsidRPr="00580520">
        <w:rPr>
          <w:rFonts w:ascii="ACaslonPro-Regular" w:eastAsia="Times New Roman" w:hAnsi="ACaslonPro-Regular" w:cs="Times New Roman"/>
          <w:color w:val="000000"/>
          <w:sz w:val="24"/>
          <w:szCs w:val="24"/>
        </w:rPr>
        <w:t>, anti-every-other-oppression educational experience. Equity takes context into account. The equality-minded educator might think, hey, we need to value all children all the time, so responding so directly to Mayor Barton’s election and its aftermath sends the wrong message that we care more about immigrant students than other students. All students experience barriers, they might say, so why focus so much on one or two specific groups and their challenges? The equity-literate educator might acknowledge, yes, all students experience barriers, but all students don’t experience racism and xenophobia on top of the other barriers. We have to redistribute energies and resources to address a form of injustice harming a particular group of students especially harshly right now. Sometimes equity is unequal. And vice versa.</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Secondly, remember to think both </w:t>
      </w:r>
      <w:r w:rsidRPr="00580520">
        <w:rPr>
          <w:rFonts w:ascii="ACaslonPro-Italic" w:eastAsia="Times New Roman" w:hAnsi="ACaslonPro-Italic" w:cs="Times New Roman"/>
          <w:color w:val="000000"/>
          <w:sz w:val="24"/>
          <w:szCs w:val="24"/>
        </w:rPr>
        <w:t>immediate term</w:t>
      </w:r>
      <w:r w:rsidRPr="00580520">
        <w:rPr>
          <w:rFonts w:ascii="ACaslonPro-Regular" w:eastAsia="Times New Roman" w:hAnsi="ACaslonPro-Regular" w:cs="Times New Roman"/>
          <w:color w:val="000000"/>
          <w:sz w:val="24"/>
          <w:szCs w:val="24"/>
        </w:rPr>
        <w:t> and </w:t>
      </w:r>
      <w:r w:rsidRPr="00580520">
        <w:rPr>
          <w:rFonts w:ascii="ACaslonPro-Italic" w:eastAsia="Times New Roman" w:hAnsi="ACaslonPro-Italic" w:cs="Times New Roman"/>
          <w:color w:val="000000"/>
          <w:sz w:val="24"/>
          <w:szCs w:val="24"/>
        </w:rPr>
        <w:t>long term</w:t>
      </w:r>
      <w:r w:rsidRPr="00580520">
        <w:rPr>
          <w:rFonts w:ascii="ACaslonPro-Regular" w:eastAsia="Times New Roman" w:hAnsi="ACaslonPro-Regular" w:cs="Times New Roman"/>
          <w:color w:val="000000"/>
          <w:sz w:val="24"/>
          <w:szCs w:val="24"/>
        </w:rPr>
        <w:t xml:space="preserve">. What can be resolved right now, on the spot, and what will equity look like once it is resolved? Imagine yourself in the room with the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xml:space="preserve"> staff. How would you intervene in the moment? Would you challenge Principal Smith on the “politics” justification for refusing Ms. </w:t>
      </w:r>
      <w:proofErr w:type="spellStart"/>
      <w:r w:rsidRPr="00580520">
        <w:rPr>
          <w:rFonts w:ascii="ACaslonPro-Regular" w:eastAsia="Times New Roman" w:hAnsi="ACaslonPro-Regular" w:cs="Times New Roman"/>
          <w:color w:val="000000"/>
          <w:sz w:val="24"/>
          <w:szCs w:val="24"/>
        </w:rPr>
        <w:t>Samaya’s</w:t>
      </w:r>
      <w:proofErr w:type="spellEnd"/>
      <w:r w:rsidRPr="00580520">
        <w:rPr>
          <w:rFonts w:ascii="ACaslonPro-Regular" w:eastAsia="Times New Roman" w:hAnsi="ACaslonPro-Regular" w:cs="Times New Roman"/>
          <w:color w:val="000000"/>
          <w:sz w:val="24"/>
          <w:szCs w:val="24"/>
        </w:rPr>
        <w:t xml:space="preserve"> suggestion? Would you invite your colleagues into a conversation about what might be useful beyond anti-bullying training? How might you respond to Ms. Allister?</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 xml:space="preserve">Consider long-term outcomes, as well. Perhaps an equitable outcome would include anti-racism and anti-xenophobic professional development on top of the anti-bullying training for everybody </w:t>
      </w:r>
      <w:r w:rsidRPr="00580520">
        <w:rPr>
          <w:rFonts w:ascii="ACaslonPro-Regular" w:eastAsia="Times New Roman" w:hAnsi="ACaslonPro-Regular" w:cs="Times New Roman"/>
          <w:color w:val="000000"/>
          <w:sz w:val="24"/>
          <w:szCs w:val="24"/>
        </w:rPr>
        <w:lastRenderedPageBreak/>
        <w:t xml:space="preserve">at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including Principal Smith. It might also include a set of policy initiatives to guide how to respond to future situations similar to the one in which the school is currently embroiled.</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p.19</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Finally, </w:t>
      </w:r>
      <w:r w:rsidRPr="00580520">
        <w:rPr>
          <w:rFonts w:ascii="ACaslonPro-Italic" w:eastAsia="Times New Roman" w:hAnsi="ACaslonPro-Italic" w:cs="Times New Roman"/>
          <w:color w:val="000000"/>
          <w:sz w:val="24"/>
          <w:szCs w:val="24"/>
        </w:rPr>
        <w:t>be specific</w:t>
      </w:r>
      <w:r w:rsidRPr="00580520">
        <w:rPr>
          <w:rFonts w:ascii="ACaslonPro-Regular" w:eastAsia="Times New Roman" w:hAnsi="ACaslonPro-Regular" w:cs="Times New Roman"/>
          <w:color w:val="000000"/>
          <w:sz w:val="24"/>
          <w:szCs w:val="24"/>
        </w:rPr>
        <w:t>. Identify very specific, on-the-ground outcomes. How, specifically, will things be different in the school or classroom if we commit to resolving the issue and all its nuances equitably?</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5: Brainstorm Immediate-Term Responses</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Now that you have some equitable outcomes in mind, we begin brainstorming strategies to get us there. What are some of the things we might do </w:t>
      </w:r>
      <w:r w:rsidRPr="00580520">
        <w:rPr>
          <w:rFonts w:ascii="ACaslonPro-Italic" w:eastAsia="Times New Roman" w:hAnsi="ACaslonPro-Italic" w:cs="Times New Roman"/>
          <w:color w:val="000000"/>
          <w:sz w:val="24"/>
          <w:szCs w:val="24"/>
        </w:rPr>
        <w:t>right now</w:t>
      </w:r>
      <w:r w:rsidRPr="00580520">
        <w:rPr>
          <w:rFonts w:ascii="ACaslonPro-Regular" w:eastAsia="Times New Roman" w:hAnsi="ACaslonPro-Regular" w:cs="Times New Roman"/>
          <w:color w:val="000000"/>
          <w:sz w:val="24"/>
          <w:szCs w:val="24"/>
        </w:rPr>
        <w:t xml:space="preserve"> to achieve those outcomes if we were educators at </w:t>
      </w:r>
      <w:proofErr w:type="spellStart"/>
      <w:r w:rsidRPr="00580520">
        <w:rPr>
          <w:rFonts w:ascii="ACaslonPro-Regular" w:eastAsia="Times New Roman" w:hAnsi="ACaslonPro-Regular" w:cs="Times New Roman"/>
          <w:color w:val="000000"/>
          <w:sz w:val="24"/>
          <w:szCs w:val="24"/>
        </w:rPr>
        <w:t>Dovetown</w:t>
      </w:r>
      <w:proofErr w:type="spellEnd"/>
      <w:r w:rsidRPr="00580520">
        <w:rPr>
          <w:rFonts w:ascii="ACaslonPro-Regular" w:eastAsia="Times New Roman" w:hAnsi="ACaslonPro-Regular" w:cs="Times New Roman"/>
          <w:color w:val="000000"/>
          <w:sz w:val="24"/>
          <w:szCs w:val="24"/>
        </w:rPr>
        <w:t>? This is a brainstorm, remember, so don’t overthink. Focus on using the understandings that you’ve developed in Steps 1 through 4 and, of course, your own experience and expertise, and make a list. You’ll have an opportunity in Step 7 to refine your ideas into a formal action plan.</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6: Brainstorm Longer-Term Policy and Practice Adjustments</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In Step 6 we develop longer-term strategies, often for more substantive change. This is where we might brainstorm ways to bolster awareness about the sorts of challenges the Somali and Central American students experience in and out of school. It is where we focus on shifting institutional culture and knowledge, infusing equity into school-wide policies and practices or even district policies and practices, if we believe they need to be altered to achieve our equitable outcomes.</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Here, again, we’re brainstorming. Try not to self-censor. Record whatever ideas come to mind based on Steps 1 through 5.</w:t>
      </w:r>
    </w:p>
    <w:p w:rsidR="00580520" w:rsidRPr="00580520" w:rsidRDefault="00580520" w:rsidP="00580520">
      <w:pPr>
        <w:spacing w:before="360" w:after="192" w:line="240" w:lineRule="auto"/>
        <w:rPr>
          <w:rFonts w:ascii="ACaslonPro-Italic" w:eastAsia="Times New Roman" w:hAnsi="ACaslonPro-Italic" w:cs="Times New Roman"/>
          <w:color w:val="000000"/>
          <w:sz w:val="29"/>
          <w:szCs w:val="29"/>
        </w:rPr>
      </w:pPr>
      <w:r w:rsidRPr="00580520">
        <w:rPr>
          <w:rFonts w:ascii="ACaslonPro-Italic" w:eastAsia="Times New Roman" w:hAnsi="ACaslonPro-Italic" w:cs="Times New Roman"/>
          <w:color w:val="000000"/>
          <w:sz w:val="29"/>
          <w:szCs w:val="29"/>
        </w:rPr>
        <w:t>Step 7: Craft a Plan of Action</w:t>
      </w:r>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During the final step we craft our brainstorms into specific actions we believe will result in the equitable outcomes we outlined in Step 5. What would we do in the immediate term? What would we do that might be a little longer-term equity project? How would we respond to ensure, to the best of our knowledge and power, justice for everybody involved?</w:t>
      </w:r>
    </w:p>
    <w:p w:rsidR="00580520" w:rsidRPr="00580520" w:rsidRDefault="00580520" w:rsidP="00580520">
      <w:pPr>
        <w:spacing w:before="300" w:after="300" w:line="240" w:lineRule="auto"/>
        <w:jc w:val="right"/>
        <w:rPr>
          <w:rFonts w:ascii="ACaslonPro-Regular" w:eastAsia="Times New Roman" w:hAnsi="ACaslonPro-Regular" w:cs="Times New Roman"/>
          <w:color w:val="97A4AA"/>
          <w:sz w:val="18"/>
          <w:szCs w:val="18"/>
        </w:rPr>
      </w:pPr>
      <w:r w:rsidRPr="00580520">
        <w:rPr>
          <w:rFonts w:ascii="ACaslonPro-Regular" w:eastAsia="Times New Roman" w:hAnsi="ACaslonPro-Regular" w:cs="Times New Roman"/>
          <w:color w:val="97A4AA"/>
          <w:sz w:val="18"/>
          <w:szCs w:val="18"/>
        </w:rPr>
        <w:t>p.20</w:t>
      </w:r>
    </w:p>
    <w:p w:rsidR="00580520" w:rsidRPr="00580520" w:rsidRDefault="00580520" w:rsidP="00580520">
      <w:pPr>
        <w:spacing w:before="360" w:after="0" w:line="240" w:lineRule="auto"/>
        <w:rPr>
          <w:rFonts w:ascii="ACaslonPro-Semibold" w:eastAsia="Times New Roman" w:hAnsi="ACaslonPro-Semibold" w:cs="Times New Roman"/>
          <w:color w:val="000000"/>
          <w:sz w:val="31"/>
          <w:szCs w:val="31"/>
        </w:rPr>
      </w:pPr>
      <w:hyperlink r:id="rId20" w:anchor="rs1-3a" w:history="1">
        <w:r w:rsidRPr="00580520">
          <w:rPr>
            <w:rFonts w:ascii="ACaslonPro-Semibold" w:eastAsia="Times New Roman" w:hAnsi="ACaslonPro-Semibold" w:cs="Times New Roman"/>
            <w:color w:val="0000FF"/>
            <w:sz w:val="31"/>
            <w:szCs w:val="31"/>
            <w:u w:val="single"/>
          </w:rPr>
          <w:t>A Few Final Thoughts</w:t>
        </w:r>
      </w:hyperlink>
    </w:p>
    <w:p w:rsidR="00580520" w:rsidRPr="00580520" w:rsidRDefault="00580520" w:rsidP="00580520">
      <w:pPr>
        <w:spacing w:before="100" w:beforeAutospacing="1" w:after="100" w:afterAutospacing="1" w:line="240" w:lineRule="auto"/>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We recognize that in the heat of the moment we do not have time to sit down and think through the seven steps of a case analysis process. The point is not to memorize these steps or to step through them carefully at every instance of inequity.</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lastRenderedPageBreak/>
        <w:t>Instead, the idea is to use them to practice our equity literacy skills by reflecting on classroom and school conditions through a social justice lens. Use them to practice grappling with the nuances and complexities inherent in any institution full of people with different aspirations and gifts and challenges in a society full of bias and injustice. For additional guidance refer to the “Points for Consideration” for each case in </w:t>
      </w:r>
      <w:hyperlink r:id="rId21" w:history="1">
        <w:r w:rsidRPr="00580520">
          <w:rPr>
            <w:rFonts w:ascii="ACaslonPro-Regular" w:eastAsia="Times New Roman" w:hAnsi="ACaslonPro-Regular" w:cs="Times New Roman"/>
            <w:color w:val="0000FF"/>
            <w:sz w:val="24"/>
            <w:szCs w:val="24"/>
            <w:u w:val="single"/>
          </w:rPr>
          <w:t>Appendix B</w:t>
        </w:r>
      </w:hyperlink>
      <w:r w:rsidRPr="00580520">
        <w:rPr>
          <w:rFonts w:ascii="ACaslonPro-Regular" w:eastAsia="Times New Roman" w:hAnsi="ACaslonPro-Regular" w:cs="Times New Roman"/>
          <w:color w:val="000000"/>
          <w:sz w:val="24"/>
          <w:szCs w:val="24"/>
        </w:rPr>
        <w:t>. These points offer valuable insight we might otherwise miss when analyzing a case.</w:t>
      </w:r>
    </w:p>
    <w:p w:rsidR="00580520" w:rsidRPr="00580520" w:rsidRDefault="00580520" w:rsidP="00580520">
      <w:pPr>
        <w:spacing w:after="100" w:afterAutospacing="1" w:line="240" w:lineRule="auto"/>
        <w:ind w:firstLine="240"/>
        <w:jc w:val="both"/>
        <w:rPr>
          <w:rFonts w:ascii="ACaslonPro-Regular" w:eastAsia="Times New Roman" w:hAnsi="ACaslonPro-Regular" w:cs="Times New Roman"/>
          <w:color w:val="000000"/>
          <w:sz w:val="24"/>
          <w:szCs w:val="24"/>
        </w:rPr>
      </w:pPr>
      <w:r w:rsidRPr="00580520">
        <w:rPr>
          <w:rFonts w:ascii="ACaslonPro-Regular" w:eastAsia="Times New Roman" w:hAnsi="ACaslonPro-Regular" w:cs="Times New Roman"/>
          <w:color w:val="000000"/>
          <w:sz w:val="24"/>
          <w:szCs w:val="24"/>
        </w:rPr>
        <w:t>Practice enough and that equity view will become second nature. We begin to see the nuances and complexities previously invisible, or at least a little hazy, to us. That is how we cultivate equity literacy—how we become a threat to the existence of bias and inequity in our spheres of influence.</w:t>
      </w:r>
    </w:p>
    <w:p w:rsidR="00005119" w:rsidRDefault="00005119"/>
    <w:sectPr w:rsidR="00005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pperplate-Gothic-Light">
    <w:altName w:val="Times New Roman"/>
    <w:panose1 w:val="00000000000000000000"/>
    <w:charset w:val="00"/>
    <w:family w:val="roman"/>
    <w:notTrueType/>
    <w:pitch w:val="default"/>
  </w:font>
  <w:font w:name="TradeGothicLH-Extended">
    <w:altName w:val="Times New Roman"/>
    <w:panose1 w:val="00000000000000000000"/>
    <w:charset w:val="00"/>
    <w:family w:val="roman"/>
    <w:notTrueType/>
    <w:pitch w:val="default"/>
  </w:font>
  <w:font w:name="ACaslonPro-Regular">
    <w:altName w:val="Times New Roman"/>
    <w:panose1 w:val="00000000000000000000"/>
    <w:charset w:val="00"/>
    <w:family w:val="roman"/>
    <w:notTrueType/>
    <w:pitch w:val="default"/>
  </w:font>
  <w:font w:name="ACaslonPro-Italic">
    <w:altName w:val="Times New Roman"/>
    <w:panose1 w:val="00000000000000000000"/>
    <w:charset w:val="00"/>
    <w:family w:val="roman"/>
    <w:notTrueType/>
    <w:pitch w:val="default"/>
  </w:font>
  <w:font w:name="ACaslonPro-Semibold">
    <w:altName w:val="Times New Roman"/>
    <w:panose1 w:val="00000000000000000000"/>
    <w:charset w:val="00"/>
    <w:family w:val="roman"/>
    <w:notTrueType/>
    <w:pitch w:val="default"/>
  </w:font>
  <w:font w:name="TradeGothicLTStd-Bold">
    <w:altName w:val="Times New Roman"/>
    <w:panose1 w:val="00000000000000000000"/>
    <w:charset w:val="00"/>
    <w:family w:val="roman"/>
    <w:notTrueType/>
    <w:pitch w:val="default"/>
  </w:font>
  <w:font w:name="TradeGothicLTStd-Cn18">
    <w:altName w:val="Times New Roman"/>
    <w:panose1 w:val="00000000000000000000"/>
    <w:charset w:val="00"/>
    <w:family w:val="roman"/>
    <w:notTrueType/>
    <w:pitch w:val="default"/>
  </w:font>
  <w:font w:name="TradeGothicLTStd-Obl">
    <w:altName w:val="Times New Roman"/>
    <w:panose1 w:val="00000000000000000000"/>
    <w:charset w:val="00"/>
    <w:family w:val="roman"/>
    <w:notTrueType/>
    <w:pitch w:val="default"/>
  </w:font>
  <w:font w:name="TradeGothicLTStd-Cn18Obl">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520"/>
    <w:rsid w:val="00005119"/>
    <w:rsid w:val="00580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BE9C5-E427-40EA-968B-BE2C4A619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num">
    <w:name w:val="chnum"/>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DefaultParagraphFont"/>
    <w:rsid w:val="00580520"/>
  </w:style>
  <w:style w:type="paragraph" w:customStyle="1" w:styleId="chtitle">
    <w:name w:val="chtitle"/>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num">
    <w:name w:val="pagenum"/>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580520"/>
  </w:style>
  <w:style w:type="paragraph" w:customStyle="1" w:styleId="h1">
    <w:name w:val="h1"/>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tract">
    <w:name w:val="extract"/>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ag-small-caps">
    <w:name w:val="flag-small-caps"/>
    <w:basedOn w:val="DefaultParagraphFont"/>
    <w:rsid w:val="00580520"/>
  </w:style>
  <w:style w:type="paragraph" w:customStyle="1" w:styleId="tablecaption">
    <w:name w:val="tablecaption"/>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label">
    <w:name w:val="tablelabel"/>
    <w:basedOn w:val="DefaultParagraphFont"/>
    <w:rsid w:val="00580520"/>
  </w:style>
  <w:style w:type="paragraph" w:customStyle="1" w:styleId="image">
    <w:name w:val="image"/>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
    <w:name w:val="source"/>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lique">
    <w:name w:val="oblique"/>
    <w:basedOn w:val="DefaultParagraphFont"/>
    <w:rsid w:val="00580520"/>
  </w:style>
  <w:style w:type="character" w:customStyle="1" w:styleId="condensedno18oblique">
    <w:name w:val="condensedno18oblique"/>
    <w:basedOn w:val="DefaultParagraphFont"/>
    <w:rsid w:val="00580520"/>
  </w:style>
  <w:style w:type="paragraph" w:customStyle="1" w:styleId="figurecaption">
    <w:name w:val="figurecaption"/>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2">
    <w:name w:val="h2"/>
    <w:basedOn w:val="Normal"/>
    <w:rsid w:val="005805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043707">
      <w:bodyDiv w:val="1"/>
      <w:marLeft w:val="0"/>
      <w:marRight w:val="0"/>
      <w:marTop w:val="0"/>
      <w:marBottom w:val="0"/>
      <w:divBdr>
        <w:top w:val="none" w:sz="0" w:space="0" w:color="auto"/>
        <w:left w:val="none" w:sz="0" w:space="0" w:color="auto"/>
        <w:bottom w:val="none" w:sz="0" w:space="0" w:color="auto"/>
        <w:right w:val="none" w:sz="0" w:space="0" w:color="auto"/>
      </w:divBdr>
    </w:div>
    <w:div w:id="1761489761">
      <w:bodyDiv w:val="1"/>
      <w:marLeft w:val="0"/>
      <w:marRight w:val="0"/>
      <w:marTop w:val="0"/>
      <w:marBottom w:val="0"/>
      <w:divBdr>
        <w:top w:val="none" w:sz="0" w:space="0" w:color="auto"/>
        <w:left w:val="none" w:sz="0" w:space="0" w:color="auto"/>
        <w:bottom w:val="none" w:sz="0" w:space="0" w:color="auto"/>
        <w:right w:val="none" w:sz="0" w:space="0" w:color="auto"/>
      </w:divBdr>
      <w:divsChild>
        <w:div w:id="36970798">
          <w:marLeft w:val="0"/>
          <w:marRight w:val="0"/>
          <w:marTop w:val="360"/>
          <w:marBottom w:val="360"/>
          <w:divBdr>
            <w:top w:val="none" w:sz="0" w:space="0" w:color="auto"/>
            <w:left w:val="none" w:sz="0" w:space="0" w:color="auto"/>
            <w:bottom w:val="none" w:sz="0" w:space="0" w:color="auto"/>
            <w:right w:val="none" w:sz="0" w:space="0" w:color="auto"/>
          </w:divBdr>
        </w:div>
        <w:div w:id="1987468514">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51142502/epub/OEBPS/ch0002.xlink.xhtml" TargetMode="External"/><Relationship Id="rId13" Type="http://schemas.openxmlformats.org/officeDocument/2006/relationships/hyperlink" Target="https://jigsaw.vitalsource.com/books/9781351142502/epub/OEBPS/toc.xlink.xhtml" TargetMode="External"/><Relationship Id="rId18" Type="http://schemas.openxmlformats.org/officeDocument/2006/relationships/hyperlink" Target="https://jigsaw.vitalsource.com/books/9781351142502/epub/OEBPS/ch0001.xlink.xhtml" TargetMode="External"/><Relationship Id="rId3" Type="http://schemas.openxmlformats.org/officeDocument/2006/relationships/webSettings" Target="webSettings.xml"/><Relationship Id="rId21" Type="http://schemas.openxmlformats.org/officeDocument/2006/relationships/hyperlink" Target="https://jigsaw.vitalsource.com/books/9781351142502/epub/OEBPS/app2.xlink.xhtml" TargetMode="External"/><Relationship Id="rId7" Type="http://schemas.openxmlformats.org/officeDocument/2006/relationships/hyperlink" Target="https://jigsaw.vitalsource.com/books/9781351142502/epub/OEBPS/toc.xlink.xhtml" TargetMode="External"/><Relationship Id="rId12" Type="http://schemas.openxmlformats.org/officeDocument/2006/relationships/hyperlink" Target="https://jigsaw.vitalsource.com/books/9781351142502/epub/OEBPS/toc.xlink.xhtml" TargetMode="External"/><Relationship Id="rId17" Type="http://schemas.openxmlformats.org/officeDocument/2006/relationships/hyperlink" Target="https://jigsaw.vitalsource.com/books/9781351142502/epub/OEBPS/ch0002.xlink.xhtml" TargetMode="External"/><Relationship Id="rId2" Type="http://schemas.openxmlformats.org/officeDocument/2006/relationships/settings" Target="settings.xml"/><Relationship Id="rId16" Type="http://schemas.openxmlformats.org/officeDocument/2006/relationships/hyperlink" Target="https://jigsaw.vitalsource.com/books/9781351142502/epub/OEBPS/toc.xlink.xhtml" TargetMode="External"/><Relationship Id="rId20" Type="http://schemas.openxmlformats.org/officeDocument/2006/relationships/hyperlink" Target="https://jigsaw.vitalsource.com/books/9781351142502/epub/OEBPS/toc.xlink.xhtml" TargetMode="External"/><Relationship Id="rId1" Type="http://schemas.openxmlformats.org/officeDocument/2006/relationships/styles" Target="styles.xml"/><Relationship Id="rId6" Type="http://schemas.openxmlformats.org/officeDocument/2006/relationships/hyperlink" Target="https://jigsaw.vitalsource.com/books/9781351142502/epub/OEBPS/ch0002.xlink.xhtml" TargetMode="External"/><Relationship Id="rId11" Type="http://schemas.openxmlformats.org/officeDocument/2006/relationships/hyperlink" Target="https://jigsaw.vitalsource.com/books/9781351142502/epub/OEBPS/app2.xlink.xhtml" TargetMode="External"/><Relationship Id="rId5" Type="http://schemas.openxmlformats.org/officeDocument/2006/relationships/hyperlink" Target="https://jigsaw.vitalsource.com/books/9781351142502/epub/OEBPS/toc.xlink.xhtml" TargetMode="External"/><Relationship Id="rId15" Type="http://schemas.openxmlformats.org/officeDocument/2006/relationships/hyperlink" Target="https://jigsaw.vitalsource.com/books/9781351142502/epub/OEBPS/ch0002.xlink.xhtml" TargetMode="External"/><Relationship Id="rId23" Type="http://schemas.openxmlformats.org/officeDocument/2006/relationships/theme" Target="theme/theme1.xml"/><Relationship Id="rId10" Type="http://schemas.openxmlformats.org/officeDocument/2006/relationships/hyperlink" Target="https://jigsaw.vitalsource.com/books/9781351142502/epub/OEBPS/ch0011.xlink.xhtml" TargetMode="External"/><Relationship Id="rId19" Type="http://schemas.openxmlformats.org/officeDocument/2006/relationships/hyperlink" Target="https://jigsaw.vitalsource.com/books/9781351142502/epub/OEBPS/app1.xlink.xhtml" TargetMode="External"/><Relationship Id="rId4" Type="http://schemas.openxmlformats.org/officeDocument/2006/relationships/hyperlink" Target="https://jigsaw.vitalsource.com/books/9781351142502/epub/OEBPS/toc.xlink.xhtml" TargetMode="External"/><Relationship Id="rId9" Type="http://schemas.openxmlformats.org/officeDocument/2006/relationships/hyperlink" Target="https://jigsaw.vitalsource.com/books/9781351142502/epub/OEBPS/ch0003.xlink.xhtml" TargetMode="External"/><Relationship Id="rId14" Type="http://schemas.openxmlformats.org/officeDocument/2006/relationships/hyperlink" Target="https://jigsaw.vitalsource.com/books/9781351142502/epub/OEBPS/toc.xlink.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6265</Words>
  <Characters>35715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41897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Brownlee, Jazmine</dc:creator>
  <cp:keywords/>
  <dc:description/>
  <cp:lastModifiedBy>Brownlee, Jazmine</cp:lastModifiedBy>
  <cp:revision>1</cp:revision>
  <dcterms:created xsi:type="dcterms:W3CDTF">2018-11-17T21:35:00Z</dcterms:created>
  <dcterms:modified xsi:type="dcterms:W3CDTF">2018-11-17T21:37:00Z</dcterms:modified>
</cp:coreProperties>
</file>